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183" w14:textId="6D977752" w:rsidR="005C19C0" w:rsidRDefault="005C19C0" w:rsidP="005C19C0">
      <w:pPr>
        <w:pStyle w:val="a7"/>
        <w:tabs>
          <w:tab w:val="right" w:pos="9630"/>
        </w:tabs>
        <w:rPr>
          <w:rFonts w:cs="Arial"/>
          <w:noProof w:val="0"/>
          <w:sz w:val="24"/>
        </w:rPr>
      </w:pPr>
      <w:r>
        <w:rPr>
          <w:rFonts w:cs="Arial"/>
          <w:noProof w:val="0"/>
          <w:sz w:val="24"/>
        </w:rPr>
        <w:t>3GPP TSG-RAN WG3 Meeting #11</w:t>
      </w:r>
      <w:r w:rsidR="00764D4E">
        <w:rPr>
          <w:rFonts w:cs="Arial"/>
          <w:noProof w:val="0"/>
          <w:sz w:val="24"/>
        </w:rPr>
        <w:t>7</w:t>
      </w:r>
      <w:r w:rsidR="00201673">
        <w:rPr>
          <w:rFonts w:cs="Arial"/>
          <w:noProof w:val="0"/>
          <w:sz w:val="24"/>
        </w:rPr>
        <w:t>bis</w:t>
      </w:r>
      <w:r w:rsidR="000375CE">
        <w:rPr>
          <w:rFonts w:cs="Arial"/>
          <w:noProof w:val="0"/>
          <w:sz w:val="24"/>
        </w:rPr>
        <w:t>-e</w:t>
      </w:r>
      <w:r>
        <w:rPr>
          <w:rFonts w:cs="Arial"/>
          <w:noProof w:val="0"/>
          <w:sz w:val="24"/>
        </w:rPr>
        <w:tab/>
      </w:r>
      <w:r w:rsidR="004612A8" w:rsidRPr="004612A8">
        <w:rPr>
          <w:rFonts w:cs="Arial"/>
          <w:noProof w:val="0"/>
          <w:sz w:val="24"/>
        </w:rPr>
        <w:t>R3-</w:t>
      </w:r>
      <w:r w:rsidR="00464CF1">
        <w:rPr>
          <w:rFonts w:cs="Arial"/>
          <w:noProof w:val="0"/>
          <w:sz w:val="24"/>
        </w:rPr>
        <w:t>225682</w:t>
      </w:r>
    </w:p>
    <w:p w14:paraId="67EB9102" w14:textId="4884321E" w:rsidR="005C19C0" w:rsidRDefault="005C19C0" w:rsidP="005C19C0">
      <w:pPr>
        <w:pStyle w:val="ac"/>
        <w:jc w:val="both"/>
        <w:rPr>
          <w:rFonts w:eastAsia="MS UI Gothic" w:cs="Arial"/>
          <w:i w:val="0"/>
          <w:noProof w:val="0"/>
          <w:sz w:val="24"/>
          <w:szCs w:val="22"/>
        </w:rPr>
      </w:pPr>
      <w:r>
        <w:rPr>
          <w:rFonts w:cs="Arial"/>
          <w:i w:val="0"/>
          <w:noProof w:val="0"/>
          <w:sz w:val="24"/>
        </w:rPr>
        <w:t xml:space="preserve">E-meeting, </w:t>
      </w:r>
      <w:r w:rsidR="00764D4E">
        <w:rPr>
          <w:rFonts w:cs="Arial"/>
          <w:i w:val="0"/>
          <w:noProof w:val="0"/>
          <w:sz w:val="24"/>
        </w:rPr>
        <w:t>1</w:t>
      </w:r>
      <w:r w:rsidR="00201673">
        <w:rPr>
          <w:rFonts w:cs="Arial"/>
          <w:i w:val="0"/>
          <w:noProof w:val="0"/>
          <w:sz w:val="24"/>
        </w:rPr>
        <w:t>0</w:t>
      </w:r>
      <w:r w:rsidR="00764D4E">
        <w:rPr>
          <w:rFonts w:cs="Arial"/>
          <w:i w:val="0"/>
          <w:noProof w:val="0"/>
          <w:sz w:val="24"/>
          <w:vertAlign w:val="superscript"/>
        </w:rPr>
        <w:t>th</w:t>
      </w:r>
      <w:r w:rsidR="001F3FDA">
        <w:rPr>
          <w:rFonts w:cs="Arial"/>
          <w:i w:val="0"/>
          <w:noProof w:val="0"/>
          <w:sz w:val="24"/>
          <w:vertAlign w:val="superscript"/>
        </w:rPr>
        <w:t xml:space="preserve"> </w:t>
      </w:r>
      <w:r w:rsidR="000375CE">
        <w:rPr>
          <w:rFonts w:cs="Arial"/>
          <w:i w:val="0"/>
          <w:noProof w:val="0"/>
          <w:sz w:val="24"/>
        </w:rPr>
        <w:t xml:space="preserve">– </w:t>
      </w:r>
      <w:r w:rsidR="00201673">
        <w:rPr>
          <w:rFonts w:cs="Arial"/>
          <w:i w:val="0"/>
          <w:noProof w:val="0"/>
          <w:sz w:val="24"/>
        </w:rPr>
        <w:t>18</w:t>
      </w:r>
      <w:r w:rsidR="00764D4E">
        <w:rPr>
          <w:rFonts w:cs="Arial"/>
          <w:i w:val="0"/>
          <w:noProof w:val="0"/>
          <w:sz w:val="24"/>
          <w:vertAlign w:val="superscript"/>
        </w:rPr>
        <w:t>th</w:t>
      </w:r>
      <w:r w:rsidR="00201673">
        <w:rPr>
          <w:rFonts w:cs="Arial"/>
          <w:i w:val="0"/>
          <w:noProof w:val="0"/>
          <w:sz w:val="24"/>
        </w:rPr>
        <w:t xml:space="preserve"> October</w:t>
      </w:r>
      <w:r w:rsidR="000375CE">
        <w:rPr>
          <w:rFonts w:cs="Arial"/>
          <w:i w:val="0"/>
          <w:noProof w:val="0"/>
          <w:sz w:val="24"/>
        </w:rPr>
        <w:t xml:space="preserve">, </w:t>
      </w:r>
      <w:r>
        <w:rPr>
          <w:rFonts w:cs="Arial"/>
          <w:i w:val="0"/>
          <w:noProof w:val="0"/>
          <w:sz w:val="24"/>
        </w:rPr>
        <w:t>202</w:t>
      </w:r>
      <w:r w:rsidR="004612A8">
        <w:rPr>
          <w:rFonts w:cs="Arial"/>
          <w:i w:val="0"/>
          <w:noProof w:val="0"/>
          <w:sz w:val="24"/>
        </w:rPr>
        <w:t>2</w:t>
      </w:r>
      <w:r>
        <w:rPr>
          <w:rFonts w:eastAsia="MS UI Gothic" w:cs="Arial"/>
          <w:i w:val="0"/>
          <w:noProof w:val="0"/>
          <w:sz w:val="24"/>
          <w:szCs w:val="22"/>
        </w:rPr>
        <w:tab/>
      </w:r>
    </w:p>
    <w:p w14:paraId="5326F26F" w14:textId="77777777" w:rsidR="005C19C0" w:rsidRPr="005308FA" w:rsidRDefault="005C19C0" w:rsidP="005C19C0">
      <w:pPr>
        <w:pStyle w:val="ac"/>
        <w:jc w:val="both"/>
        <w:rPr>
          <w:rFonts w:ascii="DotumChe" w:eastAsia="宋体" w:hAnsi="DotumChe" w:cs="楷体_GB2312" w:hint="eastAsia"/>
          <w:b w:val="0"/>
          <w:i w:val="0"/>
          <w:noProof w:val="0"/>
          <w:sz w:val="24"/>
          <w:szCs w:val="18"/>
        </w:rPr>
      </w:pPr>
    </w:p>
    <w:p w14:paraId="182F7E11" w14:textId="53FCD919"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034F2">
        <w:rPr>
          <w:rFonts w:ascii="Arial" w:hAnsi="Arial"/>
          <w:sz w:val="24"/>
        </w:rPr>
        <w:t>Group mobility for mobile IAB</w:t>
      </w:r>
    </w:p>
    <w:p w14:paraId="710421AC" w14:textId="77777777" w:rsidR="005C19C0" w:rsidRDefault="005C19C0" w:rsidP="005C19C0">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p>
    <w:p w14:paraId="468CB8F9" w14:textId="3C08E8DC" w:rsidR="005C19C0" w:rsidRDefault="005C19C0" w:rsidP="005C19C0">
      <w:pPr>
        <w:tabs>
          <w:tab w:val="left" w:pos="1985"/>
        </w:tabs>
        <w:rPr>
          <w:rStyle w:val="af8"/>
        </w:rPr>
      </w:pPr>
      <w:r>
        <w:rPr>
          <w:rFonts w:ascii="Arial" w:hAnsi="Arial"/>
          <w:b/>
          <w:sz w:val="24"/>
        </w:rPr>
        <w:t>Agenda item:</w:t>
      </w:r>
      <w:r>
        <w:rPr>
          <w:rFonts w:ascii="Arial" w:hAnsi="Arial"/>
          <w:sz w:val="24"/>
        </w:rPr>
        <w:tab/>
        <w:t>13.</w:t>
      </w:r>
      <w:r w:rsidR="000953C1">
        <w:rPr>
          <w:rFonts w:ascii="Arial" w:hAnsi="Arial"/>
          <w:sz w:val="24"/>
        </w:rPr>
        <w:t>3</w:t>
      </w:r>
    </w:p>
    <w:p w14:paraId="1FA0FB1B" w14:textId="4C0C35FC"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764D4E">
        <w:rPr>
          <w:rFonts w:ascii="Arial" w:hAnsi="Arial"/>
          <w:sz w:val="24"/>
        </w:rPr>
        <w:t>Discussion</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0" w:name="_Ref189809556"/>
      <w:bookmarkStart w:id="1" w:name="_Ref174151459"/>
    </w:p>
    <w:p w14:paraId="623DC10A" w14:textId="040F6ED4" w:rsidR="005C19C0" w:rsidRDefault="003034F2" w:rsidP="005C19C0">
      <w:pPr>
        <w:rPr>
          <w:rFonts w:eastAsia="宋体"/>
          <w:lang w:eastAsia="zh-CN"/>
        </w:rPr>
      </w:pPr>
      <w:r>
        <w:rPr>
          <w:rFonts w:eastAsia="宋体"/>
          <w:lang w:eastAsia="zh-CN"/>
        </w:rPr>
        <w:t xml:space="preserve">In Rel-18 IAB, the enhancement </w:t>
      </w:r>
      <w:r w:rsidRPr="00EF0395">
        <w:rPr>
          <w:rFonts w:eastAsia="宋体"/>
          <w:lang w:eastAsia="zh-CN"/>
        </w:rPr>
        <w:t xml:space="preserve">for mobility of an IAB-node together with its served UEs </w:t>
      </w:r>
      <w:r>
        <w:rPr>
          <w:rFonts w:eastAsia="宋体"/>
          <w:lang w:eastAsia="zh-CN"/>
        </w:rPr>
        <w:t>is an objective in Rel-18 IAB WID</w:t>
      </w:r>
      <w:r w:rsidR="00646323">
        <w:rPr>
          <w:rFonts w:eastAsia="宋体"/>
          <w:lang w:eastAsia="zh-CN"/>
        </w:rPr>
        <w:t xml:space="preserve"> </w:t>
      </w:r>
      <w:r w:rsidR="00646323">
        <w:rPr>
          <w:rFonts w:eastAsia="宋体"/>
          <w:lang w:eastAsia="zh-CN"/>
        </w:rPr>
        <w:fldChar w:fldCharType="begin"/>
      </w:r>
      <w:r w:rsidR="00646323">
        <w:rPr>
          <w:rFonts w:eastAsia="宋体"/>
          <w:lang w:eastAsia="zh-CN"/>
        </w:rPr>
        <w:instrText xml:space="preserve"> REF _Ref114840288 \r \h </w:instrText>
      </w:r>
      <w:r w:rsidR="00646323">
        <w:rPr>
          <w:rFonts w:eastAsia="宋体"/>
          <w:lang w:eastAsia="zh-CN"/>
        </w:rPr>
      </w:r>
      <w:r w:rsidR="00646323">
        <w:rPr>
          <w:rFonts w:eastAsia="宋体"/>
          <w:lang w:eastAsia="zh-CN"/>
        </w:rPr>
        <w:fldChar w:fldCharType="separate"/>
      </w:r>
      <w:r w:rsidR="00A60619">
        <w:rPr>
          <w:rFonts w:eastAsia="宋体"/>
          <w:lang w:eastAsia="zh-CN"/>
        </w:rPr>
        <w:t>[1]</w:t>
      </w:r>
      <w:r w:rsidR="00646323">
        <w:rPr>
          <w:rFonts w:eastAsia="宋体"/>
          <w:lang w:eastAsia="zh-CN"/>
        </w:rPr>
        <w:fldChar w:fldCharType="end"/>
      </w:r>
      <w:r w:rsidR="00472BA4">
        <w:rPr>
          <w:rFonts w:eastAsia="宋体"/>
          <w:lang w:eastAsia="zh-CN"/>
        </w:rPr>
        <w:t>:</w:t>
      </w:r>
    </w:p>
    <w:p w14:paraId="5D9751C3" w14:textId="77777777" w:rsidR="007D5A7A" w:rsidRDefault="00472BA4" w:rsidP="00472BA4">
      <w:bookmarkStart w:id="2" w:name="OLE_LINK42"/>
      <w:r>
        <w:rPr>
          <w:noProof/>
          <w:bdr w:val="single" w:sz="4" w:space="0" w:color="auto"/>
          <w:lang w:val="en-US" w:eastAsia="zh-CN"/>
        </w:rPr>
        <mc:AlternateContent>
          <mc:Choice Requires="wps">
            <w:drawing>
              <wp:inline distT="0" distB="0" distL="0" distR="0" wp14:anchorId="1755BE93" wp14:editId="72EA7674">
                <wp:extent cx="6099810" cy="1115695"/>
                <wp:effectExtent l="12065" t="13335" r="12700" b="1397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115695"/>
                        </a:xfrm>
                        <a:prstGeom prst="rect">
                          <a:avLst/>
                        </a:prstGeom>
                        <a:solidFill>
                          <a:srgbClr val="FFFFFF"/>
                        </a:solidFill>
                        <a:ln w="9525">
                          <a:solidFill>
                            <a:srgbClr val="000000"/>
                          </a:solidFill>
                          <a:miter lim="800000"/>
                          <a:headEnd/>
                          <a:tailEnd/>
                        </a:ln>
                      </wps:spPr>
                      <wps:txbx>
                        <w:txbxContent>
                          <w:p w14:paraId="2824D70D" w14:textId="7361BCB8" w:rsidR="00472BA4" w:rsidRPr="003034F2" w:rsidRDefault="003034F2" w:rsidP="002D4E86">
                            <w:pPr>
                              <w:numPr>
                                <w:ilvl w:val="0"/>
                                <w:numId w:val="18"/>
                              </w:numPr>
                              <w:spacing w:after="60"/>
                              <w:rPr>
                                <w:i/>
                                <w:sz w:val="16"/>
                                <w:szCs w:val="18"/>
                              </w:rPr>
                            </w:pPr>
                            <w:r w:rsidRPr="003034F2">
                              <w:rPr>
                                <w:rFonts w:eastAsia="等线"/>
                                <w:i/>
                              </w:rPr>
                              <w:t>Enhancements for mobility of an IAB-node together with its served UEs, including aspects related to group mobility. No optimizations for the targeting of surrounding UEs. [RAN3, RAN2]</w:t>
                            </w:r>
                          </w:p>
                        </w:txbxContent>
                      </wps:txbx>
                      <wps:bodyPr rot="0" vert="horz" wrap="square" lIns="91440" tIns="45720" rIns="91440" bIns="45720" anchor="t" anchorCtr="0" upright="1">
                        <a:spAutoFit/>
                      </wps:bodyPr>
                    </wps:wsp>
                  </a:graphicData>
                </a:graphic>
              </wp:inline>
            </w:drawing>
          </mc:Choice>
          <mc:Fallback>
            <w:pict>
              <v:shapetype w14:anchorId="1755BE93" id="_x0000_t202" coordsize="21600,21600" o:spt="202" path="m,l,21600r21600,l21600,xe">
                <v:stroke joinstyle="miter"/>
                <v:path gradientshapeok="t" o:connecttype="rect"/>
              </v:shapetype>
              <v:shape id="文本框 1" o:spid="_x0000_s1026" type="#_x0000_t202" style="width:480.3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">
                <v:textbox style="mso-fit-shape-to-text:t">
                  <w:txbxContent>
                    <w:p w14:paraId="2824D70D" w14:textId="7361BCB8" w:rsidR="00472BA4" w:rsidRPr="003034F2" w:rsidRDefault="003034F2" w:rsidP="002D4E86">
                      <w:pPr>
                        <w:numPr>
                          <w:ilvl w:val="0"/>
                          <w:numId w:val="18"/>
                        </w:numPr>
                        <w:spacing w:after="60"/>
                        <w:rPr>
                          <w:i/>
                          <w:sz w:val="16"/>
                          <w:szCs w:val="18"/>
                        </w:rPr>
                      </w:pPr>
                      <w:r w:rsidRPr="003034F2">
                        <w:rPr>
                          <w:rFonts w:eastAsia="等线"/>
                          <w:i/>
                        </w:rPr>
                        <w:t>Enhancements for mobility of an IAB-node together with its served UEs, including aspects related to group mobility. No optimizations for the targeting of surrounding UEs. [RAN3, RAN2]</w:t>
                      </w:r>
                    </w:p>
                  </w:txbxContent>
                </v:textbox>
                <w10:anchorlock/>
              </v:shape>
            </w:pict>
          </mc:Fallback>
        </mc:AlternateContent>
      </w:r>
      <w:bookmarkEnd w:id="2"/>
    </w:p>
    <w:p w14:paraId="3D36CD40" w14:textId="307B8E65" w:rsidR="00472BA4" w:rsidRDefault="00AB22F8" w:rsidP="00472BA4">
      <w:r>
        <w:t xml:space="preserve">Guided by the WID, </w:t>
      </w:r>
      <w:r w:rsidR="009F4672">
        <w:t>companies</w:t>
      </w:r>
      <w:r w:rsidR="003034F2">
        <w:t xml:space="preserve"> discussed the potential </w:t>
      </w:r>
      <w:r w:rsidR="009F4672">
        <w:t>issues in mobility</w:t>
      </w:r>
      <w:r w:rsidR="00B911E1">
        <w:t xml:space="preserve"> enhancement</w:t>
      </w:r>
      <w:r>
        <w:t xml:space="preserve"> in RAN3#117-e</w:t>
      </w:r>
      <w:r w:rsidR="0044648D">
        <w:t xml:space="preserve">, </w:t>
      </w:r>
      <w:r w:rsidR="009F4672">
        <w:t xml:space="preserve">and </w:t>
      </w:r>
      <w:r w:rsidR="0044648D">
        <w:t xml:space="preserve">the following </w:t>
      </w:r>
      <w:r w:rsidR="009F4672">
        <w:t>agreements were achieved</w:t>
      </w:r>
      <w:r w:rsidR="00646323">
        <w:t xml:space="preserve"> </w:t>
      </w:r>
      <w:r w:rsidR="00646323">
        <w:fldChar w:fldCharType="begin"/>
      </w:r>
      <w:r w:rsidR="00646323">
        <w:instrText xml:space="preserve"> REF _Ref114840279 \r \h </w:instrText>
      </w:r>
      <w:r w:rsidR="00646323">
        <w:fldChar w:fldCharType="separate"/>
      </w:r>
      <w:r w:rsidR="00972A87">
        <w:t>[2]</w:t>
      </w:r>
      <w:r w:rsidR="00646323">
        <w:fldChar w:fldCharType="end"/>
      </w:r>
      <w:r w:rsidR="0044648D">
        <w:t>:</w:t>
      </w:r>
    </w:p>
    <w:p w14:paraId="5E65B1F4" w14:textId="77777777" w:rsidR="007D5A7A" w:rsidRDefault="0044648D" w:rsidP="007D5A7A">
      <w:r>
        <w:rPr>
          <w:noProof/>
          <w:bdr w:val="single" w:sz="4" w:space="0" w:color="auto"/>
          <w:lang w:val="en-US" w:eastAsia="zh-CN"/>
        </w:rPr>
        <mc:AlternateContent>
          <mc:Choice Requires="wps">
            <w:drawing>
              <wp:inline distT="0" distB="0" distL="0" distR="0" wp14:anchorId="7763F3E5" wp14:editId="50908F07">
                <wp:extent cx="6099810" cy="1115695"/>
                <wp:effectExtent l="12065" t="13335" r="1270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115695"/>
                        </a:xfrm>
                        <a:prstGeom prst="rect">
                          <a:avLst/>
                        </a:prstGeom>
                        <a:solidFill>
                          <a:srgbClr val="FFFFFF"/>
                        </a:solidFill>
                        <a:ln w="9525">
                          <a:solidFill>
                            <a:srgbClr val="000000"/>
                          </a:solidFill>
                          <a:miter lim="800000"/>
                          <a:headEnd/>
                          <a:tailEnd/>
                        </a:ln>
                      </wps:spPr>
                      <wps:txbx>
                        <w:txbxContent>
                          <w:p w14:paraId="16D1DC94" w14:textId="08267E45" w:rsidR="0044648D" w:rsidRPr="00C9331A" w:rsidRDefault="00B911E1" w:rsidP="00B911E1">
                            <w:pPr>
                              <w:numPr>
                                <w:ilvl w:val="0"/>
                                <w:numId w:val="18"/>
                              </w:numPr>
                              <w:spacing w:after="60"/>
                              <w:rPr>
                                <w:i/>
                                <w:szCs w:val="18"/>
                              </w:rPr>
                            </w:pPr>
                            <w:r w:rsidRPr="00B911E1">
                              <w:rPr>
                                <w:i/>
                                <w:szCs w:val="18"/>
                              </w:rPr>
                              <w:t>For group mobility enhancement, RAN3 to discuss the benefit and whether to support signaling of information related to multiple UE contexts in a single message, during e.g. the handover preparation, path switch, and context release procedures.</w:t>
                            </w:r>
                          </w:p>
                          <w:p w14:paraId="3CCABFBE" w14:textId="317D5332" w:rsidR="009F4672" w:rsidRDefault="00B911E1" w:rsidP="00B911E1">
                            <w:pPr>
                              <w:numPr>
                                <w:ilvl w:val="0"/>
                                <w:numId w:val="18"/>
                              </w:numPr>
                              <w:spacing w:after="60"/>
                              <w:rPr>
                                <w:i/>
                                <w:szCs w:val="18"/>
                              </w:rPr>
                            </w:pPr>
                            <w:r w:rsidRPr="00B911E1">
                              <w:rPr>
                                <w:i/>
                                <w:szCs w:val="18"/>
                              </w:rPr>
                              <w:t>The donor CU should know</w:t>
                            </w:r>
                            <w:r>
                              <w:rPr>
                                <w:i/>
                                <w:szCs w:val="18"/>
                              </w:rPr>
                              <w:t xml:space="preserve"> that the IAB node is “mobile”</w:t>
                            </w:r>
                            <w:r w:rsidR="009F4672" w:rsidRPr="00C9331A">
                              <w:rPr>
                                <w:i/>
                                <w:szCs w:val="18"/>
                              </w:rPr>
                              <w:t>.</w:t>
                            </w:r>
                          </w:p>
                          <w:p w14:paraId="7B73FFFB" w14:textId="099D4C6D" w:rsidR="00B911E1" w:rsidRPr="00C9331A" w:rsidRDefault="00851D21" w:rsidP="00851D21">
                            <w:pPr>
                              <w:numPr>
                                <w:ilvl w:val="0"/>
                                <w:numId w:val="18"/>
                              </w:numPr>
                              <w:spacing w:after="60"/>
                              <w:rPr>
                                <w:i/>
                                <w:szCs w:val="18"/>
                              </w:rPr>
                            </w:pPr>
                            <w:r w:rsidRPr="00851D21">
                              <w:rPr>
                                <w:i/>
                                <w:szCs w:val="18"/>
                              </w:rPr>
                              <w:t>RAN3 to discuss whether to support means to identify onboard UEs.</w:t>
                            </w:r>
                          </w:p>
                        </w:txbxContent>
                      </wps:txbx>
                      <wps:bodyPr rot="0" vert="horz" wrap="square" lIns="91440" tIns="45720" rIns="91440" bIns="45720" anchor="t" anchorCtr="0" upright="1">
                        <a:spAutoFit/>
                      </wps:bodyPr>
                    </wps:wsp>
                  </a:graphicData>
                </a:graphic>
              </wp:inline>
            </w:drawing>
          </mc:Choice>
          <mc:Fallback>
            <w:pict>
              <v:shape w14:anchorId="7763F3E5" id="文本框 2" o:spid="_x0000_s1027" type="#_x0000_t202" style="width:480.3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">
                <v:textbox style="mso-fit-shape-to-text:t">
                  <w:txbxContent>
                    <w:p w14:paraId="16D1DC94" w14:textId="08267E45" w:rsidR="0044648D" w:rsidRPr="00C9331A" w:rsidRDefault="00B911E1" w:rsidP="00B911E1">
                      <w:pPr>
                        <w:numPr>
                          <w:ilvl w:val="0"/>
                          <w:numId w:val="18"/>
                        </w:numPr>
                        <w:spacing w:after="60"/>
                        <w:rPr>
                          <w:i/>
                          <w:szCs w:val="18"/>
                        </w:rPr>
                      </w:pPr>
                      <w:r w:rsidRPr="00B911E1">
                        <w:rPr>
                          <w:i/>
                          <w:szCs w:val="18"/>
                        </w:rPr>
                        <w:t>For group mobility enhancement, RAN3 to discuss the benefit and whether to support signaling of information related to multiple UE contexts in a single message, during e.g. the handover preparation, path switch, and context release procedures.</w:t>
                      </w:r>
                    </w:p>
                    <w:p w14:paraId="3CCABFBE" w14:textId="317D5332" w:rsidR="009F4672" w:rsidRDefault="00B911E1" w:rsidP="00B911E1">
                      <w:pPr>
                        <w:numPr>
                          <w:ilvl w:val="0"/>
                          <w:numId w:val="18"/>
                        </w:numPr>
                        <w:spacing w:after="60"/>
                        <w:rPr>
                          <w:i/>
                          <w:szCs w:val="18"/>
                        </w:rPr>
                      </w:pPr>
                      <w:r w:rsidRPr="00B911E1">
                        <w:rPr>
                          <w:i/>
                          <w:szCs w:val="18"/>
                        </w:rPr>
                        <w:t>The donor CU should know</w:t>
                      </w:r>
                      <w:r>
                        <w:rPr>
                          <w:i/>
                          <w:szCs w:val="18"/>
                        </w:rPr>
                        <w:t xml:space="preserve"> that the IAB node is “mobile”</w:t>
                      </w:r>
                      <w:r w:rsidR="009F4672" w:rsidRPr="00C9331A">
                        <w:rPr>
                          <w:i/>
                          <w:szCs w:val="18"/>
                        </w:rPr>
                        <w:t>.</w:t>
                      </w:r>
                    </w:p>
                    <w:p w14:paraId="7B73FFFB" w14:textId="099D4C6D" w:rsidR="00B911E1" w:rsidRPr="00C9331A" w:rsidRDefault="00851D21" w:rsidP="00851D21">
                      <w:pPr>
                        <w:numPr>
                          <w:ilvl w:val="0"/>
                          <w:numId w:val="18"/>
                        </w:numPr>
                        <w:spacing w:after="60"/>
                        <w:rPr>
                          <w:i/>
                          <w:szCs w:val="18"/>
                        </w:rPr>
                      </w:pPr>
                      <w:r w:rsidRPr="00851D21">
                        <w:rPr>
                          <w:i/>
                          <w:szCs w:val="18"/>
                        </w:rPr>
                        <w:t>RAN3 to discuss whether to support means to identify onboard UEs.</w:t>
                      </w:r>
                    </w:p>
                  </w:txbxContent>
                </v:textbox>
                <w10:anchorlock/>
              </v:shape>
            </w:pict>
          </mc:Fallback>
        </mc:AlternateContent>
      </w:r>
    </w:p>
    <w:p w14:paraId="6B86B63A" w14:textId="0F12977B" w:rsidR="0031282D" w:rsidRPr="007E24F8" w:rsidRDefault="00472BA4" w:rsidP="007D5A7A">
      <w:r w:rsidRPr="006775A3">
        <w:rPr>
          <w:rFonts w:hint="eastAsia"/>
        </w:rPr>
        <w:t>I</w:t>
      </w:r>
      <w:r w:rsidRPr="006775A3">
        <w:t xml:space="preserve">n this paper, we </w:t>
      </w:r>
      <w:r w:rsidR="00AB22F8" w:rsidRPr="006775A3">
        <w:t>continue to discuss</w:t>
      </w:r>
      <w:r w:rsidR="002D08FC" w:rsidRPr="004C728C">
        <w:t xml:space="preserve"> the</w:t>
      </w:r>
      <w:r w:rsidR="00AB22F8" w:rsidRPr="004C728C">
        <w:t xml:space="preserve"> group </w:t>
      </w:r>
      <w:r w:rsidR="0031282D" w:rsidRPr="007E24F8">
        <w:t>handover</w:t>
      </w:r>
      <w:r w:rsidR="0031282D" w:rsidRPr="007E24F8">
        <w:rPr>
          <w:rFonts w:asciiTheme="minorEastAsia" w:eastAsiaTheme="minorEastAsia" w:hAnsiTheme="minorEastAsia"/>
          <w:lang w:eastAsia="zh-CN"/>
        </w:rPr>
        <w:t>,</w:t>
      </w:r>
      <w:r w:rsidR="0031282D" w:rsidRPr="007E24F8">
        <w:t xml:space="preserve"> and the issue about mobility indication, as well as whether to identify on-board UEs.</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3AF0FCB4" w14:textId="63E026F2" w:rsidR="00D554BE" w:rsidRPr="007E24F8" w:rsidRDefault="00B21F2C" w:rsidP="007E24F8">
      <w:pPr>
        <w:pStyle w:val="21"/>
        <w:rPr>
          <w:rFonts w:eastAsiaTheme="minorEastAsia"/>
          <w:sz w:val="24"/>
          <w:lang w:eastAsia="zh-CN"/>
        </w:rPr>
      </w:pPr>
      <w:r>
        <w:rPr>
          <w:sz w:val="24"/>
        </w:rPr>
        <w:t xml:space="preserve">2.1 </w:t>
      </w:r>
      <w:r w:rsidRPr="007E24F8">
        <w:rPr>
          <w:sz w:val="24"/>
        </w:rPr>
        <w:t>Group</w:t>
      </w:r>
      <w:r w:rsidRPr="007E24F8">
        <w:rPr>
          <w:rFonts w:eastAsiaTheme="minorEastAsia"/>
          <w:sz w:val="24"/>
          <w:lang w:eastAsia="zh-CN"/>
        </w:rPr>
        <w:t xml:space="preserve"> mobility for mobile IAB</w:t>
      </w:r>
    </w:p>
    <w:p w14:paraId="384B4238" w14:textId="1A53C8D7" w:rsidR="007E5BA3" w:rsidRPr="007E24F8" w:rsidRDefault="007E5BA3" w:rsidP="007E24F8">
      <w:pPr>
        <w:pStyle w:val="27"/>
        <w:rPr>
          <w:rFonts w:eastAsiaTheme="minorEastAsia"/>
          <w:lang w:eastAsia="zh-CN"/>
        </w:rPr>
      </w:pPr>
      <w:r>
        <w:rPr>
          <w:rFonts w:eastAsiaTheme="minorEastAsia"/>
          <w:lang w:eastAsia="zh-CN"/>
        </w:rPr>
        <w:t xml:space="preserve">2.1.1 </w:t>
      </w:r>
      <w:r w:rsidR="006C4300">
        <w:rPr>
          <w:rFonts w:eastAsiaTheme="minorEastAsia"/>
          <w:lang w:eastAsia="zh-CN"/>
        </w:rPr>
        <w:t>Whether</w:t>
      </w:r>
      <w:r w:rsidR="003F482E">
        <w:rPr>
          <w:rFonts w:eastAsiaTheme="minorEastAsia"/>
          <w:lang w:eastAsia="zh-CN"/>
        </w:rPr>
        <w:t xml:space="preserve"> to consider g</w:t>
      </w:r>
      <w:r w:rsidRPr="007E24F8">
        <w:rPr>
          <w:rFonts w:eastAsiaTheme="minorEastAsia"/>
          <w:sz w:val="22"/>
          <w:lang w:eastAsia="zh-CN"/>
        </w:rPr>
        <w:t>roup</w:t>
      </w:r>
      <w:r>
        <w:rPr>
          <w:rFonts w:eastAsiaTheme="minorEastAsia"/>
          <w:lang w:eastAsia="zh-CN"/>
        </w:rPr>
        <w:t xml:space="preserve"> signalling for IAB-MT and served UEs</w:t>
      </w:r>
    </w:p>
    <w:p w14:paraId="48EBADA0" w14:textId="79C66289" w:rsidR="00995239" w:rsidRDefault="00972A87" w:rsidP="00972A87">
      <w:r>
        <w:t xml:space="preserve">In RAN3#117-e meeting, the combined HO for mobile IAB-MT and the connected UEs was discussed, but not </w:t>
      </w:r>
      <w:r w:rsidR="0097679C">
        <w:t>agreed</w:t>
      </w:r>
      <w:r w:rsidR="00995239">
        <w:t>. In our view, the</w:t>
      </w:r>
      <w:r w:rsidR="00995239" w:rsidRPr="00994B55">
        <w:t xml:space="preserve"> </w:t>
      </w:r>
      <w:r w:rsidR="00995239">
        <w:t xml:space="preserve">combined HO for mobile IAB-MT and the connected UEs has obvious benefit. That is, </w:t>
      </w:r>
      <w:r w:rsidR="00995239" w:rsidRPr="0056308E">
        <w:t>the target CU can take all the context into consideration to make admission control</w:t>
      </w:r>
      <w:r w:rsidR="00995239">
        <w:t>.</w:t>
      </w:r>
      <w:r w:rsidR="00995239" w:rsidRPr="0056308E">
        <w:t xml:space="preserve"> </w:t>
      </w:r>
      <w:r w:rsidR="00995239">
        <w:t xml:space="preserve">When determining whether or not to accept the handover of the IAB-MT, the target CU should also consider the traffic load of the UEs served by the </w:t>
      </w:r>
      <w:r w:rsidR="00B21F2C">
        <w:t xml:space="preserve">co-located </w:t>
      </w:r>
      <w:r w:rsidR="00995239">
        <w:t>DU of this MT. The admission is not only mean the IAB-MT but also the served UEs are allowed to switch to the target CU.</w:t>
      </w:r>
    </w:p>
    <w:p w14:paraId="499E1487" w14:textId="622954A2" w:rsidR="00972A87" w:rsidRDefault="001D2486" w:rsidP="00972A87">
      <w:r>
        <w:t>We classify the</w:t>
      </w:r>
      <w:r w:rsidR="0097679C">
        <w:t xml:space="preserve"> opponent views </w:t>
      </w:r>
      <w:r w:rsidR="00E675EC">
        <w:t>i</w:t>
      </w:r>
      <w:r>
        <w:t xml:space="preserve">n </w:t>
      </w:r>
      <w:r>
        <w:fldChar w:fldCharType="begin"/>
      </w:r>
      <w:r>
        <w:instrText xml:space="preserve"> REF _Ref114930672 \r \h </w:instrText>
      </w:r>
      <w:r>
        <w:fldChar w:fldCharType="separate"/>
      </w:r>
      <w:r>
        <w:t>[2]</w:t>
      </w:r>
      <w:r>
        <w:fldChar w:fldCharType="end"/>
      </w:r>
      <w:r>
        <w:t xml:space="preserve"> </w:t>
      </w:r>
      <w:r w:rsidR="00995239">
        <w:t xml:space="preserve">on the combined HO for mobile IAB-MT and the connected UEs </w:t>
      </w:r>
      <w:r w:rsidR="00181BFE">
        <w:t>as follows</w:t>
      </w:r>
      <w:r w:rsidR="0097679C">
        <w:t>:</w:t>
      </w:r>
    </w:p>
    <w:p w14:paraId="4BDD94DA" w14:textId="7CA0D99B" w:rsidR="00181BFE" w:rsidRDefault="00181BFE" w:rsidP="002D4E86">
      <w:pPr>
        <w:pStyle w:val="af9"/>
        <w:numPr>
          <w:ilvl w:val="0"/>
          <w:numId w:val="19"/>
        </w:numPr>
        <w:ind w:firstLineChars="0"/>
      </w:pPr>
      <w:r>
        <w:t>The combined HO means simultaneous IAB-MT and UEs HO, which is risky.</w:t>
      </w:r>
    </w:p>
    <w:p w14:paraId="024AFE17" w14:textId="45144933" w:rsidR="00181BFE" w:rsidRDefault="00181BFE" w:rsidP="002D4E86">
      <w:pPr>
        <w:pStyle w:val="af9"/>
        <w:numPr>
          <w:ilvl w:val="0"/>
          <w:numId w:val="19"/>
        </w:numPr>
        <w:ind w:firstLineChars="0"/>
      </w:pPr>
      <w:r>
        <w:t>In full migration, the MT handover may before the UEs’ handover.</w:t>
      </w:r>
    </w:p>
    <w:p w14:paraId="12571A56" w14:textId="1E3F0C8C" w:rsidR="00090DAD" w:rsidRDefault="00090DAD" w:rsidP="002D4E86">
      <w:pPr>
        <w:pStyle w:val="af9"/>
        <w:numPr>
          <w:ilvl w:val="0"/>
          <w:numId w:val="19"/>
        </w:numPr>
        <w:ind w:firstLineChars="0"/>
      </w:pPr>
      <w:r>
        <w:t>I</w:t>
      </w:r>
      <w:r w:rsidRPr="00931D10">
        <w:t>t’s better to let the IAB-MT perform handover at first and check with the target whether there are sufficient resources for the UEs served by IAB-node, if yes, then UE migration can be performed</w:t>
      </w:r>
      <w:r>
        <w:t>.</w:t>
      </w:r>
    </w:p>
    <w:p w14:paraId="4A67D0EE" w14:textId="3DBD47C2" w:rsidR="00521A9E" w:rsidRDefault="00521A9E" w:rsidP="002D4E86">
      <w:pPr>
        <w:pStyle w:val="af9"/>
        <w:numPr>
          <w:ilvl w:val="0"/>
          <w:numId w:val="19"/>
        </w:numPr>
        <w:ind w:firstLineChars="0"/>
      </w:pPr>
      <w:r>
        <w:lastRenderedPageBreak/>
        <w:t>The mobile IAB-DU and mobile IAB-MT migrations can be decoupled. That is, the IAB-MT’s handover and the UE’s handover may not both happen.</w:t>
      </w:r>
    </w:p>
    <w:p w14:paraId="72B2CD93" w14:textId="4ABF220C" w:rsidR="00994B55" w:rsidRDefault="00995239" w:rsidP="00972A87">
      <w:r>
        <w:t xml:space="preserve">For these concerns, </w:t>
      </w:r>
      <w:r w:rsidR="008643A9">
        <w:t>our view are provided as</w:t>
      </w:r>
      <w:r>
        <w:t xml:space="preserve"> follows</w:t>
      </w:r>
      <w:r w:rsidR="00994B55">
        <w:t xml:space="preserve">: </w:t>
      </w:r>
    </w:p>
    <w:p w14:paraId="1003119D" w14:textId="1DE74D28" w:rsidR="00521A9E" w:rsidRPr="0056308E" w:rsidRDefault="00994B55" w:rsidP="002D4E86">
      <w:pPr>
        <w:pStyle w:val="af9"/>
        <w:numPr>
          <w:ilvl w:val="0"/>
          <w:numId w:val="20"/>
        </w:numPr>
        <w:ind w:firstLineChars="0"/>
      </w:pPr>
      <w:r w:rsidRPr="0056308E">
        <w:t>For concerns 1</w:t>
      </w:r>
      <w:r w:rsidR="00090DAD" w:rsidRPr="0056308E">
        <w:rPr>
          <w:rFonts w:eastAsiaTheme="minorEastAsia"/>
          <w:lang w:eastAsia="zh-CN"/>
        </w:rPr>
        <w:t xml:space="preserve">, </w:t>
      </w:r>
      <w:r w:rsidRPr="0056308E">
        <w:t>2</w:t>
      </w:r>
      <w:r w:rsidR="00090DAD" w:rsidRPr="0056308E">
        <w:t>, and 3</w:t>
      </w:r>
      <w:r w:rsidRPr="0056308E">
        <w:t xml:space="preserve">: </w:t>
      </w:r>
      <w:r w:rsidR="00931D10" w:rsidRPr="0056308E">
        <w:t>In our view, the key idea of combined HO for mobile IAB-MT and the connected UEs is the combined transmission of the context of</w:t>
      </w:r>
      <w:r w:rsidR="00995239">
        <w:t xml:space="preserve"> IAB-MT and UEs</w:t>
      </w:r>
      <w:r w:rsidR="00A03D23">
        <w:t>.</w:t>
      </w:r>
      <w:r w:rsidR="00521A9E" w:rsidRPr="0056308E">
        <w:t xml:space="preserve"> </w:t>
      </w:r>
      <w:r w:rsidR="00995239">
        <w:t>Such</w:t>
      </w:r>
      <w:r w:rsidR="00226200">
        <w:t xml:space="preserve"> context</w:t>
      </w:r>
      <w:r w:rsidR="00521A9E" w:rsidRPr="0056308E">
        <w:t xml:space="preserve"> combination does not mean the handover </w:t>
      </w:r>
      <w:r w:rsidR="00090DAD" w:rsidRPr="0056308E">
        <w:t>must</w:t>
      </w:r>
      <w:r w:rsidR="00521A9E" w:rsidRPr="0056308E">
        <w:t xml:space="preserve"> immediately execute after the interaction between the CUs. </w:t>
      </w:r>
      <w:r w:rsidR="00090DAD" w:rsidRPr="0056308E">
        <w:t>The transmission time of handover command can be additionally designed based on the adopted full migration sequence. T</w:t>
      </w:r>
      <w:r w:rsidR="00521A9E" w:rsidRPr="0056308E">
        <w:t xml:space="preserve">he order of mobile IAB-MT and UE’s handover time should not be the reason to </w:t>
      </w:r>
      <w:r w:rsidRPr="0056308E">
        <w:t xml:space="preserve">reject the context combination. </w:t>
      </w:r>
      <w:r w:rsidR="00090DAD" w:rsidRPr="0056308E">
        <w:t xml:space="preserve">As for the third concern, we see that such context combination is just the way to help the target CU make admission control. There is no way to make admission control for the UEs if the CU does not acquire </w:t>
      </w:r>
      <w:r w:rsidR="006775A3">
        <w:t xml:space="preserve">any </w:t>
      </w:r>
      <w:r w:rsidR="00090DAD" w:rsidRPr="0056308E">
        <w:t>UEs context.</w:t>
      </w:r>
    </w:p>
    <w:p w14:paraId="5A925585" w14:textId="274B115B" w:rsidR="00994B55" w:rsidRDefault="00994B55" w:rsidP="002D4E86">
      <w:pPr>
        <w:pStyle w:val="af9"/>
        <w:numPr>
          <w:ilvl w:val="0"/>
          <w:numId w:val="20"/>
        </w:numPr>
        <w:ind w:firstLineChars="0"/>
      </w:pPr>
      <w:r w:rsidRPr="0056308E">
        <w:t xml:space="preserve">For concern </w:t>
      </w:r>
      <w:r w:rsidR="00090DAD" w:rsidRPr="0056308E">
        <w:t>4</w:t>
      </w:r>
      <w:r w:rsidRPr="0056308E">
        <w:t>:</w:t>
      </w:r>
      <w:r w:rsidR="00090DAD" w:rsidRPr="0056308E">
        <w:t xml:space="preserve"> </w:t>
      </w:r>
      <w:r w:rsidRPr="0056308E">
        <w:t>If the MT migrates but DU not, it falls back into the partial migration and is already supported in Rel-17</w:t>
      </w:r>
      <w:r w:rsidR="006775A3">
        <w:t xml:space="preserve">, and in such case, there is no need to </w:t>
      </w:r>
      <w:r w:rsidR="00B35191">
        <w:t>introduce</w:t>
      </w:r>
      <w:r w:rsidR="006775A3">
        <w:t xml:space="preserve"> “group signaling” for IAB-MT and UEs </w:t>
      </w:r>
      <w:r w:rsidR="00B35191">
        <w:t xml:space="preserve">since UE’s HO </w:t>
      </w:r>
      <w:r w:rsidR="006775A3">
        <w:t>is not needed</w:t>
      </w:r>
      <w:r w:rsidRPr="0056308E">
        <w:t xml:space="preserve">. </w:t>
      </w:r>
      <w:r w:rsidR="00B23E9D">
        <w:t xml:space="preserve">For the R18 mobile IAB, </w:t>
      </w:r>
      <w:r w:rsidRPr="0056308E">
        <w:t xml:space="preserve">We do not think there is any motivation to </w:t>
      </w:r>
      <w:r w:rsidR="00B23E9D">
        <w:t>only let the</w:t>
      </w:r>
      <w:r w:rsidRPr="0056308E">
        <w:t xml:space="preserve"> DU migrates but MT not. </w:t>
      </w:r>
      <w:r w:rsidR="00B23E9D">
        <w:t xml:space="preserve">So both the IAB-MT and the UEs will perform HO in the DU migration case. And </w:t>
      </w:r>
      <w:r w:rsidR="008275CC">
        <w:t xml:space="preserve">then the group signalling </w:t>
      </w:r>
      <w:r w:rsidR="00B23E9D">
        <w:t xml:space="preserve"> can</w:t>
      </w:r>
      <w:r w:rsidR="008275CC">
        <w:t xml:space="preserve"> be </w:t>
      </w:r>
      <w:r w:rsidR="00B23E9D">
        <w:t xml:space="preserve"> consider</w:t>
      </w:r>
      <w:r w:rsidR="008275CC">
        <w:t>ed for such case to “bundle” the information of IAB-MT and the UEs.</w:t>
      </w:r>
      <w:r w:rsidR="00B23E9D">
        <w:t xml:space="preserve"> </w:t>
      </w:r>
      <w:r w:rsidRPr="0056308E">
        <w:t>.</w:t>
      </w:r>
    </w:p>
    <w:p w14:paraId="7C00258E" w14:textId="2569AFF3" w:rsidR="00A03D23" w:rsidRDefault="00A03D23" w:rsidP="00A03D23">
      <w:r>
        <w:t>To sum up, we</w:t>
      </w:r>
      <w:r w:rsidR="0003192D">
        <w:t xml:space="preserve"> have the following observation and proposal</w:t>
      </w:r>
      <w:r>
        <w:t>.</w:t>
      </w:r>
    </w:p>
    <w:p w14:paraId="65BA6F75" w14:textId="76054780" w:rsidR="00A03D23" w:rsidRPr="00226200" w:rsidRDefault="00A03D23" w:rsidP="00A03D23">
      <w:pPr>
        <w:spacing w:beforeLines="50" w:before="120"/>
        <w:rPr>
          <w:b/>
        </w:rPr>
      </w:pPr>
      <w:r w:rsidRPr="00226200">
        <w:rPr>
          <w:b/>
        </w:rPr>
        <w:t xml:space="preserve">Observation 1: If the </w:t>
      </w:r>
      <w:bookmarkStart w:id="3" w:name="OLE_LINK7"/>
      <w:r w:rsidRPr="00226200">
        <w:rPr>
          <w:b/>
        </w:rPr>
        <w:t>Xn HO preparation procedure for mobile-IAB</w:t>
      </w:r>
      <w:bookmarkEnd w:id="3"/>
      <w:r w:rsidRPr="00226200">
        <w:rPr>
          <w:b/>
        </w:rPr>
        <w:t xml:space="preserve"> can indicate some context of its serving UEs (e.g. the identifiers of the connected UEs), it will be helpful for the target CU </w:t>
      </w:r>
      <w:r w:rsidR="00995239">
        <w:rPr>
          <w:b/>
        </w:rPr>
        <w:t>to</w:t>
      </w:r>
      <w:r w:rsidRPr="00226200">
        <w:rPr>
          <w:b/>
        </w:rPr>
        <w:t xml:space="preserve"> determine whether to accept them all</w:t>
      </w:r>
      <w:r w:rsidR="00995239">
        <w:rPr>
          <w:b/>
        </w:rPr>
        <w:t>.</w:t>
      </w:r>
    </w:p>
    <w:p w14:paraId="27645889" w14:textId="08678E42" w:rsidR="00A03D23" w:rsidRDefault="00A03D23" w:rsidP="00A03D23">
      <w:pPr>
        <w:spacing w:beforeLines="50" w:before="120"/>
        <w:rPr>
          <w:b/>
        </w:rPr>
      </w:pPr>
      <w:r w:rsidRPr="00226200">
        <w:rPr>
          <w:b/>
        </w:rPr>
        <w:t>Proposal 1: The Xn HO preparation procedure for mobile-IAB can carry some context of its serving UEs (e.g. the identifiers of the connected UEs).</w:t>
      </w:r>
    </w:p>
    <w:p w14:paraId="08B2D79C" w14:textId="1A893829" w:rsidR="007E5BA3" w:rsidRPr="007E24F8" w:rsidRDefault="003F482E" w:rsidP="007E24F8">
      <w:pPr>
        <w:pStyle w:val="27"/>
        <w:rPr>
          <w:rFonts w:eastAsiaTheme="minorEastAsia"/>
          <w:sz w:val="22"/>
          <w:lang w:eastAsia="zh-CN"/>
        </w:rPr>
      </w:pPr>
      <w:r w:rsidRPr="007E24F8">
        <w:rPr>
          <w:rFonts w:eastAsiaTheme="minorEastAsia"/>
          <w:sz w:val="22"/>
          <w:lang w:eastAsia="zh-CN"/>
        </w:rPr>
        <w:t>2.1.2</w:t>
      </w:r>
      <w:r>
        <w:rPr>
          <w:rFonts w:eastAsiaTheme="minorEastAsia"/>
          <w:b/>
          <w:sz w:val="22"/>
          <w:lang w:eastAsia="zh-CN"/>
        </w:rPr>
        <w:t xml:space="preserve"> </w:t>
      </w:r>
      <w:r w:rsidRPr="004C728C">
        <w:rPr>
          <w:rFonts w:eastAsiaTheme="minorEastAsia"/>
          <w:sz w:val="22"/>
          <w:lang w:eastAsia="zh-CN"/>
        </w:rPr>
        <w:t>Whether</w:t>
      </w:r>
      <w:r w:rsidRPr="007E24F8">
        <w:rPr>
          <w:rFonts w:eastAsiaTheme="minorEastAsia"/>
          <w:sz w:val="22"/>
          <w:lang w:eastAsia="zh-CN"/>
        </w:rPr>
        <w:t xml:space="preserve"> to consider g</w:t>
      </w:r>
      <w:r w:rsidRPr="00D61CBB">
        <w:rPr>
          <w:rFonts w:eastAsiaTheme="minorEastAsia"/>
          <w:sz w:val="22"/>
          <w:lang w:eastAsia="zh-CN"/>
        </w:rPr>
        <w:t>roup</w:t>
      </w:r>
      <w:r>
        <w:rPr>
          <w:rFonts w:eastAsiaTheme="minorEastAsia"/>
          <w:lang w:eastAsia="zh-CN"/>
        </w:rPr>
        <w:t xml:space="preserve"> signalling for all served UEs</w:t>
      </w:r>
    </w:p>
    <w:p w14:paraId="39D4E41D" w14:textId="1FA97AC2" w:rsidR="002F2820" w:rsidRPr="007E24F8" w:rsidRDefault="00443515" w:rsidP="00A03D23">
      <w:r w:rsidRPr="00292816">
        <w:t xml:space="preserve">As for </w:t>
      </w:r>
      <w:r w:rsidR="00E14070" w:rsidRPr="007E24F8">
        <w:t xml:space="preserve">group signaling design for </w:t>
      </w:r>
      <w:r w:rsidR="00465A8E" w:rsidRPr="007E24F8">
        <w:t>the served UEs HO</w:t>
      </w:r>
      <w:r w:rsidR="00A03D23" w:rsidRPr="00292816">
        <w:t xml:space="preserve">, RAN3#117 achieved the </w:t>
      </w:r>
      <w:r w:rsidR="002F2820" w:rsidRPr="007E24F8">
        <w:t xml:space="preserve">following </w:t>
      </w:r>
      <w:r w:rsidR="006C070F" w:rsidRPr="007E24F8">
        <w:t>agreement:</w:t>
      </w:r>
    </w:p>
    <w:p w14:paraId="50099EBE" w14:textId="77777777" w:rsidR="006C070F" w:rsidRDefault="002F2820" w:rsidP="007E24F8">
      <w:pPr>
        <w:spacing w:beforeLines="50" w:before="120"/>
        <w:rPr>
          <w:highlight w:val="yellow"/>
        </w:rPr>
      </w:pPr>
      <w:r>
        <w:rPr>
          <w:noProof/>
          <w:bdr w:val="single" w:sz="4" w:space="0" w:color="auto"/>
          <w:lang w:val="en-US" w:eastAsia="zh-CN"/>
        </w:rPr>
        <mc:AlternateContent>
          <mc:Choice Requires="wps">
            <w:drawing>
              <wp:inline distT="0" distB="0" distL="0" distR="0" wp14:anchorId="53390EB9" wp14:editId="64D1AFE4">
                <wp:extent cx="5867836" cy="459812"/>
                <wp:effectExtent l="0" t="0" r="19050" b="241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836" cy="459812"/>
                        </a:xfrm>
                        <a:prstGeom prst="rect">
                          <a:avLst/>
                        </a:prstGeom>
                        <a:solidFill>
                          <a:srgbClr val="FFFFFF"/>
                        </a:solidFill>
                        <a:ln w="9525">
                          <a:solidFill>
                            <a:srgbClr val="000000"/>
                          </a:solidFill>
                          <a:miter lim="800000"/>
                          <a:headEnd/>
                          <a:tailEnd/>
                        </a:ln>
                      </wps:spPr>
                      <wps:txbx>
                        <w:txbxContent>
                          <w:p w14:paraId="21BA94E4" w14:textId="42681AFB" w:rsidR="002F2820" w:rsidRPr="00C9331A" w:rsidRDefault="002F2820" w:rsidP="002F2820">
                            <w:pPr>
                              <w:numPr>
                                <w:ilvl w:val="0"/>
                                <w:numId w:val="18"/>
                              </w:numPr>
                              <w:spacing w:after="60"/>
                              <w:rPr>
                                <w:i/>
                                <w:szCs w:val="18"/>
                              </w:rPr>
                            </w:pPr>
                            <w:r w:rsidRPr="00B911E1">
                              <w:rPr>
                                <w:i/>
                                <w:szCs w:val="18"/>
                              </w:rPr>
                              <w:t>For group mobility enhancement, RAN3 to discuss the benefit and whether to support signaling of information related to multiple UE contexts in a single message, during e.g. the handover preparation, path switch, and context release procedures.</w:t>
                            </w:r>
                          </w:p>
                        </w:txbxContent>
                      </wps:txbx>
                      <wps:bodyPr rot="0" vert="horz" wrap="square" lIns="91440" tIns="45720" rIns="91440" bIns="45720" anchor="t" anchorCtr="0" upright="1">
                        <a:spAutoFit/>
                      </wps:bodyPr>
                    </wps:wsp>
                  </a:graphicData>
                </a:graphic>
              </wp:inline>
            </w:drawing>
          </mc:Choice>
          <mc:Fallback>
            <w:pict>
              <v:shape w14:anchorId="53390EB9" id="文本框 3" o:spid="_x0000_s1028" type="#_x0000_t202" style="width:462.05pt;height:3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">
                <v:textbox style="mso-fit-shape-to-text:t">
                  <w:txbxContent>
                    <w:p w14:paraId="21BA94E4" w14:textId="42681AFB" w:rsidR="002F2820" w:rsidRPr="00C9331A" w:rsidRDefault="002F2820" w:rsidP="002F2820">
                      <w:pPr>
                        <w:numPr>
                          <w:ilvl w:val="0"/>
                          <w:numId w:val="18"/>
                        </w:numPr>
                        <w:spacing w:after="60"/>
                        <w:rPr>
                          <w:i/>
                          <w:szCs w:val="18"/>
                        </w:rPr>
                      </w:pPr>
                      <w:r w:rsidRPr="00B911E1">
                        <w:rPr>
                          <w:i/>
                          <w:szCs w:val="18"/>
                        </w:rPr>
                        <w:t>For group mobility enhancement, RAN3 to discuss the benefit and whether to support signaling of information related to multiple UE contexts in a single message, during e.g. the handover preparation, path switch, and context release procedures.</w:t>
                      </w:r>
                    </w:p>
                  </w:txbxContent>
                </v:textbox>
                <w10:anchorlock/>
              </v:shape>
            </w:pict>
          </mc:Fallback>
        </mc:AlternateContent>
      </w:r>
    </w:p>
    <w:p w14:paraId="1424307B" w14:textId="408B7FB5" w:rsidR="00090DAD" w:rsidRDefault="004C728C" w:rsidP="007E24F8">
      <w:pPr>
        <w:spacing w:beforeLines="50" w:before="120"/>
      </w:pPr>
      <w:r w:rsidRPr="007E24F8">
        <w:rPr>
          <w:rFonts w:eastAsiaTheme="minorEastAsia"/>
          <w:lang w:eastAsia="zh-CN"/>
        </w:rPr>
        <w:t xml:space="preserve">During the </w:t>
      </w:r>
      <w:r>
        <w:rPr>
          <w:rFonts w:eastAsiaTheme="minorEastAsia"/>
          <w:lang w:eastAsia="zh-CN"/>
        </w:rPr>
        <w:t xml:space="preserve">RAN3-117e meeting, some opponent companies think the group signalling </w:t>
      </w:r>
      <w:r w:rsidR="00346B5D">
        <w:rPr>
          <w:rFonts w:eastAsiaTheme="minorEastAsia"/>
          <w:lang w:eastAsia="zh-CN"/>
        </w:rPr>
        <w:t>cannot</w:t>
      </w:r>
      <w:r>
        <w:rPr>
          <w:rFonts w:eastAsiaTheme="minorEastAsia"/>
          <w:lang w:eastAsia="zh-CN"/>
        </w:rPr>
        <w:t xml:space="preserve"> really save signalling. We tend to agree this view </w:t>
      </w:r>
      <w:r w:rsidR="00292816">
        <w:rPr>
          <w:rFonts w:eastAsiaTheme="minorEastAsia"/>
          <w:lang w:eastAsia="zh-CN"/>
        </w:rPr>
        <w:t xml:space="preserve">but just for Xn interface (e.g. </w:t>
      </w:r>
      <w:r>
        <w:rPr>
          <w:rFonts w:eastAsiaTheme="minorEastAsia"/>
          <w:lang w:eastAsia="zh-CN"/>
        </w:rPr>
        <w:t>for the HO preparation procedure which carry UE context in Xn interface</w:t>
      </w:r>
      <w:r w:rsidR="00292816">
        <w:rPr>
          <w:rFonts w:eastAsiaTheme="minorEastAsia"/>
          <w:lang w:eastAsia="zh-CN"/>
        </w:rPr>
        <w:t>)</w:t>
      </w:r>
      <w:r>
        <w:rPr>
          <w:rFonts w:eastAsiaTheme="minorEastAsia"/>
          <w:lang w:eastAsia="zh-CN"/>
        </w:rPr>
        <w:t xml:space="preserve">. </w:t>
      </w:r>
      <w:r w:rsidR="00A73682">
        <w:t>In our understanding,</w:t>
      </w:r>
      <w:r w:rsidR="00990189" w:rsidRPr="0056308E">
        <w:t xml:space="preserve"> the main </w:t>
      </w:r>
      <w:r w:rsidR="00995239">
        <w:t xml:space="preserve">benefit </w:t>
      </w:r>
      <w:r>
        <w:t xml:space="preserve">of signalling reducing </w:t>
      </w:r>
      <w:r w:rsidR="00995239">
        <w:t xml:space="preserve">is to save the </w:t>
      </w:r>
      <w:r w:rsidR="00E675EC">
        <w:t xml:space="preserve">F1AP </w:t>
      </w:r>
      <w:r w:rsidR="00990189" w:rsidRPr="0056308E">
        <w:t xml:space="preserve">signalling </w:t>
      </w:r>
      <w:r w:rsidR="00E675EC">
        <w:t>related to</w:t>
      </w:r>
      <w:r w:rsidR="00990189" w:rsidRPr="0056308E">
        <w:t xml:space="preserve"> </w:t>
      </w:r>
      <w:r w:rsidR="00BF2ED4">
        <w:t>target BH link configuration</w:t>
      </w:r>
      <w:r w:rsidR="00990189" w:rsidRPr="0056308E">
        <w:t>. Normally, if the</w:t>
      </w:r>
      <w:r w:rsidR="0056308E" w:rsidRPr="0056308E">
        <w:t xml:space="preserve"> UEs HANDOVER REQUEST messages come to the target CU separately, each time a UE HANDOVER REQUEST message arrive</w:t>
      </w:r>
      <w:r w:rsidR="0056308E">
        <w:t xml:space="preserve">, the target CU </w:t>
      </w:r>
      <w:r w:rsidR="000F0A88">
        <w:t>may need to configure the BH related resources (e.g. BAP routing, BH RLC channels)</w:t>
      </w:r>
      <w:r w:rsidR="000F0A88" w:rsidRPr="000F0A88">
        <w:t xml:space="preserve"> </w:t>
      </w:r>
      <w:r w:rsidR="000F0A88">
        <w:t xml:space="preserve">for the UE’s traffic in the links along the target path. So, the target CU need to </w:t>
      </w:r>
      <w:r w:rsidR="005D0798">
        <w:t>modify the BH link configuration</w:t>
      </w:r>
      <w:r w:rsidR="00F424C2">
        <w:t xml:space="preserve"> </w:t>
      </w:r>
      <w:r w:rsidR="005D0798">
        <w:t>from time by time when it accepts new UE’s HO request.</w:t>
      </w:r>
      <w:r w:rsidR="00F424C2">
        <w:t xml:space="preserve"> For example, the QoS parameter for the BH RLC channel </w:t>
      </w:r>
      <w:r w:rsidR="004A4870">
        <w:t>which can be</w:t>
      </w:r>
      <w:r w:rsidR="00F424C2">
        <w:t xml:space="preserve"> shared by multiple UE’s traffic</w:t>
      </w:r>
      <w:r w:rsidR="00F424C2" w:rsidRPr="00F424C2">
        <w:t xml:space="preserve"> </w:t>
      </w:r>
      <w:r w:rsidR="00F424C2">
        <w:t xml:space="preserve">in the target upstream BH link of the mobile IAB may </w:t>
      </w:r>
      <w:r w:rsidR="004A4870">
        <w:t>be updated</w:t>
      </w:r>
      <w:r w:rsidR="00F424C2">
        <w:t xml:space="preserve"> frequently</w:t>
      </w:r>
      <w:r w:rsidR="004A4870">
        <w:t xml:space="preserve"> when more and more UEs’ HO request are accepted</w:t>
      </w:r>
      <w:r w:rsidR="00F424C2">
        <w:t xml:space="preserve">, and </w:t>
      </w:r>
      <w:r w:rsidR="004A4870">
        <w:t xml:space="preserve">such update will </w:t>
      </w:r>
      <w:r w:rsidR="00B3269E">
        <w:t>require</w:t>
      </w:r>
      <w:r w:rsidR="00F424C2">
        <w:t xml:space="preserve"> a lot of F1AP signalling </w:t>
      </w:r>
      <w:r w:rsidR="004A4870">
        <w:t>(</w:t>
      </w:r>
      <w:r w:rsidR="00EF3639">
        <w:t xml:space="preserve">e.g. </w:t>
      </w:r>
      <w:r w:rsidR="004A4870">
        <w:t>UE context</w:t>
      </w:r>
      <w:r w:rsidR="00F424C2">
        <w:t xml:space="preserve"> </w:t>
      </w:r>
      <w:r w:rsidR="00B3269E">
        <w:t>modification</w:t>
      </w:r>
      <w:r w:rsidR="004A4870">
        <w:t xml:space="preserve"> </w:t>
      </w:r>
      <w:r w:rsidR="00EF3639">
        <w:t>request/response</w:t>
      </w:r>
      <w:r w:rsidR="004A4870">
        <w:t>)</w:t>
      </w:r>
      <w:r w:rsidR="00F424C2">
        <w:t>.</w:t>
      </w:r>
      <w:r w:rsidR="00593FFC">
        <w:t xml:space="preserve"> </w:t>
      </w:r>
      <w:r w:rsidR="00A73682">
        <w:t>However, i</w:t>
      </w:r>
      <w:r w:rsidR="00593FFC">
        <w:t xml:space="preserve">f the </w:t>
      </w:r>
      <w:r w:rsidR="00833992">
        <w:t xml:space="preserve">target </w:t>
      </w:r>
      <w:r w:rsidR="00E2518A">
        <w:t xml:space="preserve">CU can configure the </w:t>
      </w:r>
      <w:r w:rsidR="003D0B5F">
        <w:t>target path after it obtaining</w:t>
      </w:r>
      <w:r w:rsidR="00E2518A">
        <w:t xml:space="preserve"> all the </w:t>
      </w:r>
      <w:r w:rsidR="00593FFC">
        <w:t>UE</w:t>
      </w:r>
      <w:r w:rsidR="00E2518A">
        <w:t>s’</w:t>
      </w:r>
      <w:r w:rsidR="00593FFC">
        <w:t xml:space="preserve"> context</w:t>
      </w:r>
      <w:r w:rsidR="00E2518A">
        <w:t>,</w:t>
      </w:r>
      <w:r w:rsidR="00593FFC">
        <w:t xml:space="preserve"> the target CU can set up the </w:t>
      </w:r>
      <w:r w:rsidR="007458E2">
        <w:t xml:space="preserve">BH RLC channels </w:t>
      </w:r>
      <w:r w:rsidR="0032190D">
        <w:t>which are suitable for serving all accepted UE traffic</w:t>
      </w:r>
      <w:r w:rsidR="00833992">
        <w:t xml:space="preserve"> at once,</w:t>
      </w:r>
      <w:r w:rsidR="0032190D">
        <w:t xml:space="preserve"> </w:t>
      </w:r>
      <w:r w:rsidR="007458E2">
        <w:t>and configure the BAP routing entries</w:t>
      </w:r>
      <w:r w:rsidR="00593FFC">
        <w:t xml:space="preserve"> </w:t>
      </w:r>
      <w:r w:rsidR="0032190D">
        <w:t>as well as the BH</w:t>
      </w:r>
      <w:r w:rsidR="00833992">
        <w:t xml:space="preserve"> RLC CH mapping at once</w:t>
      </w:r>
      <w:r w:rsidR="00593FFC">
        <w:t>.</w:t>
      </w:r>
      <w:r w:rsidR="00833992">
        <w:t xml:space="preserve"> Then</w:t>
      </w:r>
      <w:r w:rsidR="002E33BF">
        <w:t xml:space="preserve">, a </w:t>
      </w:r>
      <w:r w:rsidR="00833992">
        <w:t xml:space="preserve">lot of F1AP signalling can be saved. </w:t>
      </w:r>
    </w:p>
    <w:p w14:paraId="6835F8BB" w14:textId="0CAA49A0" w:rsidR="002E33BF" w:rsidRDefault="002E33BF" w:rsidP="007E24F8">
      <w:pPr>
        <w:spacing w:beforeLines="50" w:before="120"/>
      </w:pPr>
      <w:r>
        <w:t xml:space="preserve">When considering the group signalling, the </w:t>
      </w:r>
      <w:r w:rsidR="00E02CD8">
        <w:t xml:space="preserve">following procedures can be considered: </w:t>
      </w:r>
      <w:r w:rsidR="00E02CD8">
        <w:rPr>
          <w:rFonts w:eastAsia="宋体"/>
          <w:lang w:eastAsia="zh-CN"/>
        </w:rPr>
        <w:t>handover preparation procedure, path switch procedure, and UE context release procedures</w:t>
      </w:r>
      <w:r w:rsidR="00323ED7">
        <w:rPr>
          <w:rFonts w:eastAsia="宋体"/>
          <w:lang w:eastAsia="zh-CN"/>
        </w:rPr>
        <w:t>.</w:t>
      </w:r>
    </w:p>
    <w:p w14:paraId="73A74088" w14:textId="7B3A99DD" w:rsidR="00A03D23" w:rsidRDefault="00A03D23" w:rsidP="00A03D23">
      <w:pPr>
        <w:spacing w:beforeLines="50" w:before="120"/>
        <w:rPr>
          <w:rFonts w:eastAsia="宋体"/>
          <w:b/>
          <w:lang w:val="en-US" w:eastAsia="zh-CN"/>
        </w:rPr>
      </w:pPr>
      <w:r w:rsidRPr="00226200">
        <w:rPr>
          <w:rFonts w:eastAsia="宋体"/>
          <w:b/>
          <w:lang w:val="en-US" w:eastAsia="zh-CN"/>
        </w:rPr>
        <w:t xml:space="preserve">Observation 2: The benefit to consider the group based signaling of the UEs during HO preparation is F1AP signaling overhead saving, if the target CU can perform the BH configuration on the target path after it has knowledge of all the </w:t>
      </w:r>
      <w:r w:rsidR="00226200" w:rsidRPr="00226200">
        <w:rPr>
          <w:rFonts w:eastAsia="宋体"/>
          <w:b/>
          <w:lang w:val="en-US" w:eastAsia="zh-CN"/>
        </w:rPr>
        <w:t>UE’s traffic.</w:t>
      </w:r>
    </w:p>
    <w:p w14:paraId="0E806663" w14:textId="49FDFC27" w:rsidR="00226200" w:rsidRPr="00226200" w:rsidRDefault="00226200" w:rsidP="00226200">
      <w:pPr>
        <w:spacing w:beforeLines="50" w:before="120"/>
        <w:rPr>
          <w:b/>
        </w:rPr>
      </w:pPr>
      <w:r w:rsidRPr="00226200">
        <w:rPr>
          <w:b/>
        </w:rPr>
        <w:t xml:space="preserve">Proposal </w:t>
      </w:r>
      <w:r>
        <w:rPr>
          <w:b/>
        </w:rPr>
        <w:t>2</w:t>
      </w:r>
      <w:r w:rsidRPr="00226200">
        <w:rPr>
          <w:b/>
        </w:rPr>
        <w:t>: RAN3 consider the group signa</w:t>
      </w:r>
      <w:r>
        <w:rPr>
          <w:b/>
        </w:rPr>
        <w:t>l</w:t>
      </w:r>
      <w:r w:rsidRPr="00226200">
        <w:rPr>
          <w:b/>
        </w:rPr>
        <w:t>ling design for support</w:t>
      </w:r>
      <w:r>
        <w:rPr>
          <w:b/>
        </w:rPr>
        <w:t>ing</w:t>
      </w:r>
      <w:r w:rsidRPr="00226200">
        <w:rPr>
          <w:b/>
        </w:rPr>
        <w:t xml:space="preserve"> group HO for all connected UEs of a mobile IAB.</w:t>
      </w:r>
    </w:p>
    <w:p w14:paraId="2E27B0AE" w14:textId="50FDB95D" w:rsidR="0003192D" w:rsidRPr="0003192D" w:rsidRDefault="0003192D" w:rsidP="0003192D">
      <w:pPr>
        <w:spacing w:beforeLines="50" w:before="120"/>
        <w:rPr>
          <w:rFonts w:eastAsia="宋体"/>
          <w:b/>
        </w:rPr>
      </w:pPr>
      <w:r w:rsidRPr="0003192D">
        <w:rPr>
          <w:rFonts w:eastAsia="宋体"/>
          <w:b/>
        </w:rPr>
        <w:lastRenderedPageBreak/>
        <w:t>Proposal 3: The following procedures can be considered for group signalling: the handover preparation, path switch, and context</w:t>
      </w:r>
      <w:r w:rsidR="00323ED7">
        <w:rPr>
          <w:rFonts w:eastAsia="宋体"/>
          <w:b/>
        </w:rPr>
        <w:t xml:space="preserve"> </w:t>
      </w:r>
      <w:r w:rsidRPr="0003192D">
        <w:rPr>
          <w:rFonts w:eastAsia="宋体"/>
          <w:b/>
        </w:rPr>
        <w:t>release procedure</w:t>
      </w:r>
      <w:r>
        <w:rPr>
          <w:rFonts w:eastAsia="宋体"/>
          <w:b/>
        </w:rPr>
        <w:t>.</w:t>
      </w:r>
    </w:p>
    <w:p w14:paraId="0C89E58E" w14:textId="57485B49" w:rsidR="007B1594" w:rsidRPr="00D61CBB" w:rsidRDefault="007B1594" w:rsidP="007B1594">
      <w:pPr>
        <w:pStyle w:val="21"/>
        <w:rPr>
          <w:rFonts w:eastAsiaTheme="minorEastAsia"/>
          <w:sz w:val="24"/>
          <w:lang w:eastAsia="zh-CN"/>
        </w:rPr>
      </w:pPr>
      <w:r>
        <w:rPr>
          <w:sz w:val="24"/>
        </w:rPr>
        <w:t xml:space="preserve">2.2 </w:t>
      </w:r>
      <w:r w:rsidRPr="00E11EEA">
        <w:rPr>
          <w:rFonts w:eastAsia="Dotum" w:hint="eastAsia"/>
          <w:sz w:val="24"/>
          <w:szCs w:val="24"/>
          <w:lang w:eastAsia="zh-CN"/>
        </w:rPr>
        <w:t>M</w:t>
      </w:r>
      <w:r w:rsidRPr="00E11EEA">
        <w:rPr>
          <w:rFonts w:eastAsia="Dotum"/>
          <w:sz w:val="24"/>
          <w:szCs w:val="24"/>
          <w:lang w:eastAsia="zh-CN"/>
        </w:rPr>
        <w:t>obile IAB-node identification</w:t>
      </w:r>
    </w:p>
    <w:p w14:paraId="5B3B4DB7" w14:textId="77777777" w:rsidR="007B1594" w:rsidRPr="00B86A11" w:rsidRDefault="007B1594" w:rsidP="007B1594">
      <w:pPr>
        <w:overflowPunct w:val="0"/>
        <w:autoSpaceDE w:val="0"/>
        <w:autoSpaceDN w:val="0"/>
        <w:adjustRightInd w:val="0"/>
        <w:spacing w:after="120"/>
        <w:textAlignment w:val="baseline"/>
        <w:rPr>
          <w:rFonts w:eastAsia="宋体"/>
          <w:lang w:eastAsia="zh-CN"/>
        </w:rPr>
      </w:pPr>
      <w:r w:rsidRPr="00B86A11">
        <w:rPr>
          <w:rFonts w:eastAsia="宋体" w:hint="eastAsia"/>
          <w:lang w:eastAsia="zh-CN"/>
        </w:rPr>
        <w:t>F</w:t>
      </w:r>
      <w:r w:rsidRPr="001C01AD">
        <w:rPr>
          <w:rFonts w:eastAsia="宋体"/>
          <w:lang w:eastAsia="zh-CN"/>
        </w:rPr>
        <w:t xml:space="preserve">or the identification of the mobile IAB-node, we have the following agreements </w:t>
      </w:r>
      <w:r>
        <w:rPr>
          <w:rFonts w:eastAsia="宋体"/>
          <w:lang w:eastAsia="zh-CN"/>
        </w:rPr>
        <w:fldChar w:fldCharType="begin"/>
      </w:r>
      <w:r>
        <w:rPr>
          <w:rFonts w:eastAsia="宋体"/>
          <w:lang w:eastAsia="zh-CN"/>
        </w:rPr>
        <w:instrText xml:space="preserve"> REF _Ref109308746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1C01AD">
        <w:rPr>
          <w:rFonts w:eastAsia="宋体"/>
          <w:lang w:eastAsia="zh-CN"/>
        </w:rPr>
        <w:t>,</w:t>
      </w:r>
    </w:p>
    <w:p w14:paraId="0D2153EE" w14:textId="77777777" w:rsidR="007B1594" w:rsidRPr="00B86A11" w:rsidRDefault="007B1594" w:rsidP="007B1594">
      <w:pPr>
        <w:widowControl w:val="0"/>
        <w:numPr>
          <w:ilvl w:val="0"/>
          <w:numId w:val="22"/>
        </w:numPr>
        <w:tabs>
          <w:tab w:val="num" w:pos="720"/>
        </w:tabs>
        <w:spacing w:after="0" w:line="276" w:lineRule="auto"/>
        <w:jc w:val="both"/>
        <w:rPr>
          <w:i/>
        </w:rPr>
      </w:pPr>
      <w:r w:rsidRPr="00B86A11">
        <w:rPr>
          <w:i/>
        </w:rPr>
        <w:t xml:space="preserve">The donor CU should know that the IAB node is “mobile”. </w:t>
      </w:r>
    </w:p>
    <w:p w14:paraId="529D7AE5" w14:textId="77777777" w:rsidR="007B1594" w:rsidRPr="00B86A11" w:rsidRDefault="007B1594" w:rsidP="007B1594">
      <w:pPr>
        <w:widowControl w:val="0"/>
        <w:numPr>
          <w:ilvl w:val="0"/>
          <w:numId w:val="22"/>
        </w:numPr>
        <w:tabs>
          <w:tab w:val="num" w:pos="720"/>
        </w:tabs>
        <w:spacing w:after="0" w:line="276" w:lineRule="auto"/>
        <w:jc w:val="both"/>
        <w:rPr>
          <w:i/>
        </w:rPr>
      </w:pPr>
      <w:r w:rsidRPr="00B86A11">
        <w:rPr>
          <w:i/>
        </w:rPr>
        <w:t>RAN3 to discuss whether the target IAB-donor should know the migrating IAB-node is “mobile IAB-node” from the source IAB-donor.</w:t>
      </w:r>
    </w:p>
    <w:p w14:paraId="7E808E2F" w14:textId="77777777" w:rsidR="007B1594" w:rsidRDefault="007B1594" w:rsidP="007B1594">
      <w:pPr>
        <w:overflowPunct w:val="0"/>
        <w:autoSpaceDE w:val="0"/>
        <w:autoSpaceDN w:val="0"/>
        <w:adjustRightInd w:val="0"/>
        <w:spacing w:beforeLines="50" w:before="120" w:after="120"/>
        <w:textAlignment w:val="baseline"/>
        <w:rPr>
          <w:rFonts w:eastAsia="宋体"/>
          <w:lang w:eastAsia="zh-CN"/>
        </w:rPr>
      </w:pPr>
      <w:r>
        <w:rPr>
          <w:rFonts w:eastAsia="宋体"/>
          <w:lang w:eastAsia="zh-CN"/>
        </w:rPr>
        <w:t>It is unclear about the meaning of the word “mobile” in the above agreement, it</w:t>
      </w:r>
      <w:r w:rsidRPr="009A6909">
        <w:rPr>
          <w:rFonts w:eastAsia="宋体"/>
          <w:lang w:eastAsia="zh-CN"/>
        </w:rPr>
        <w:t xml:space="preserve"> </w:t>
      </w:r>
      <w:r>
        <w:rPr>
          <w:rFonts w:eastAsia="宋体"/>
          <w:lang w:eastAsia="zh-CN"/>
        </w:rPr>
        <w:t>may</w:t>
      </w:r>
      <w:r w:rsidRPr="009A6909">
        <w:rPr>
          <w:rFonts w:eastAsia="宋体"/>
          <w:lang w:eastAsia="zh-CN"/>
        </w:rPr>
        <w:t xml:space="preserve"> involve the following two interpretations:</w:t>
      </w:r>
    </w:p>
    <w:p w14:paraId="24DBAFF7" w14:textId="77777777" w:rsidR="007B1594" w:rsidRPr="00ED7F99" w:rsidRDefault="007B1594" w:rsidP="007B1594">
      <w:pPr>
        <w:pStyle w:val="af9"/>
        <w:numPr>
          <w:ilvl w:val="0"/>
          <w:numId w:val="23"/>
        </w:numPr>
        <w:spacing w:after="120"/>
        <w:ind w:firstLineChars="0"/>
        <w:rPr>
          <w:rFonts w:eastAsia="宋体"/>
          <w:lang w:eastAsia="zh-CN"/>
        </w:rPr>
      </w:pPr>
      <w:r w:rsidRPr="009A6909">
        <w:rPr>
          <w:rFonts w:eastAsia="宋体"/>
          <w:b/>
          <w:lang w:eastAsia="zh-CN"/>
        </w:rPr>
        <w:t xml:space="preserve">Type indication: </w:t>
      </w:r>
    </w:p>
    <w:p w14:paraId="1AFA5932" w14:textId="77777777" w:rsidR="007B1594" w:rsidRPr="00ED7F99" w:rsidRDefault="007B1594" w:rsidP="007B1594">
      <w:pPr>
        <w:pStyle w:val="af9"/>
        <w:spacing w:after="120"/>
        <w:ind w:left="420" w:firstLineChars="0" w:firstLine="0"/>
        <w:rPr>
          <w:rFonts w:eastAsia="宋体"/>
          <w:lang w:eastAsia="zh-CN"/>
        </w:rPr>
      </w:pPr>
      <w:r>
        <w:rPr>
          <w:rFonts w:eastAsia="宋体"/>
          <w:lang w:eastAsia="zh-CN"/>
        </w:rPr>
        <w:t>T</w:t>
      </w:r>
      <w:r w:rsidRPr="00ED7F99">
        <w:rPr>
          <w:rFonts w:eastAsia="宋体"/>
          <w:lang w:eastAsia="zh-CN"/>
        </w:rPr>
        <w:t>o indicate whether the IAB-node is an R16/17 static IAB-node, or an R18 IAB-node with mobility features.</w:t>
      </w:r>
    </w:p>
    <w:p w14:paraId="113C8B10" w14:textId="77777777" w:rsidR="007B1594" w:rsidRPr="009A6909" w:rsidRDefault="007B1594" w:rsidP="007B1594">
      <w:pPr>
        <w:pStyle w:val="af9"/>
        <w:numPr>
          <w:ilvl w:val="0"/>
          <w:numId w:val="23"/>
        </w:numPr>
        <w:spacing w:after="120"/>
        <w:ind w:firstLineChars="0"/>
        <w:rPr>
          <w:rFonts w:eastAsia="宋体"/>
          <w:b/>
          <w:lang w:eastAsia="zh-CN"/>
        </w:rPr>
      </w:pPr>
      <w:r w:rsidRPr="009A6909">
        <w:rPr>
          <w:rFonts w:eastAsia="宋体"/>
          <w:b/>
          <w:lang w:eastAsia="zh-CN"/>
        </w:rPr>
        <w:t>Mode indication:</w:t>
      </w:r>
    </w:p>
    <w:p w14:paraId="5AAFAB9E" w14:textId="77777777" w:rsidR="007B1594" w:rsidRDefault="007B1594" w:rsidP="007B1594">
      <w:pPr>
        <w:pStyle w:val="af9"/>
        <w:spacing w:after="120"/>
        <w:ind w:left="420" w:firstLineChars="0" w:firstLine="0"/>
        <w:rPr>
          <w:rFonts w:eastAsia="宋体"/>
          <w:lang w:eastAsia="zh-CN"/>
        </w:rPr>
      </w:pPr>
      <w:r>
        <w:rPr>
          <w:rFonts w:eastAsia="宋体"/>
          <w:lang w:eastAsia="zh-CN"/>
        </w:rPr>
        <w:t>To indicate the working/moving mode/status of an IAB-node, e.g., an R18 mobile IAB-node may not move and serve as a stationary R16/17 IAB-node, and in such case, it is not “mobile” but just “fixed”.</w:t>
      </w:r>
    </w:p>
    <w:p w14:paraId="2057BF31" w14:textId="77777777" w:rsidR="007B1594" w:rsidRDefault="007B1594" w:rsidP="007B1594">
      <w:pPr>
        <w:overflowPunct w:val="0"/>
        <w:autoSpaceDE w:val="0"/>
        <w:autoSpaceDN w:val="0"/>
        <w:adjustRightInd w:val="0"/>
        <w:spacing w:after="120"/>
        <w:textAlignment w:val="baseline"/>
        <w:rPr>
          <w:rFonts w:eastAsia="宋体"/>
          <w:lang w:eastAsia="zh-CN"/>
        </w:rPr>
      </w:pPr>
      <w:r>
        <w:rPr>
          <w:rFonts w:eastAsia="宋体" w:hint="eastAsia"/>
          <w:lang w:eastAsia="zh-CN"/>
        </w:rPr>
        <w:t>T</w:t>
      </w:r>
      <w:r>
        <w:rPr>
          <w:rFonts w:eastAsia="宋体"/>
          <w:lang w:eastAsia="zh-CN"/>
        </w:rPr>
        <w:t>herefore, it is proposed,</w:t>
      </w:r>
    </w:p>
    <w:p w14:paraId="614E78C4" w14:textId="1F22C7A4" w:rsidR="007B1594" w:rsidRPr="00ED7F99" w:rsidRDefault="007B1594" w:rsidP="007B1594">
      <w:pPr>
        <w:overflowPunct w:val="0"/>
        <w:autoSpaceDE w:val="0"/>
        <w:autoSpaceDN w:val="0"/>
        <w:adjustRightInd w:val="0"/>
        <w:spacing w:after="120"/>
        <w:textAlignment w:val="baseline"/>
        <w:rPr>
          <w:rFonts w:eastAsia="宋体"/>
          <w:lang w:eastAsia="zh-CN"/>
        </w:rPr>
      </w:pPr>
      <w:commentRangeStart w:id="4"/>
      <w:r w:rsidRPr="002A54C8">
        <w:rPr>
          <w:rFonts w:eastAsia="宋体" w:hint="eastAsia"/>
          <w:b/>
          <w:lang w:eastAsia="zh-CN"/>
        </w:rPr>
        <w:t>P</w:t>
      </w:r>
      <w:r w:rsidRPr="002A54C8">
        <w:rPr>
          <w:rFonts w:eastAsia="宋体"/>
          <w:b/>
          <w:lang w:eastAsia="zh-CN"/>
        </w:rPr>
        <w:t xml:space="preserve">roposal </w:t>
      </w:r>
      <w:r>
        <w:rPr>
          <w:rFonts w:eastAsia="宋体"/>
          <w:b/>
          <w:lang w:eastAsia="zh-CN"/>
        </w:rPr>
        <w:t>4</w:t>
      </w:r>
      <w:r w:rsidRPr="002A54C8">
        <w:rPr>
          <w:rFonts w:eastAsia="宋体"/>
          <w:b/>
          <w:lang w:eastAsia="zh-CN"/>
        </w:rPr>
        <w:t>:</w:t>
      </w:r>
      <w:commentRangeEnd w:id="4"/>
      <w:r>
        <w:rPr>
          <w:rStyle w:val="ae"/>
        </w:rPr>
        <w:commentReference w:id="4"/>
      </w:r>
      <w:r w:rsidRPr="00ED7F99">
        <w:rPr>
          <w:rFonts w:eastAsia="宋体"/>
          <w:b/>
          <w:lang w:eastAsia="zh-CN"/>
        </w:rPr>
        <w:t xml:space="preserve"> </w:t>
      </w:r>
      <w:r w:rsidRPr="00056910">
        <w:rPr>
          <w:rFonts w:eastAsia="宋体"/>
          <w:b/>
          <w:lang w:eastAsia="zh-CN"/>
        </w:rPr>
        <w:t>RAN</w:t>
      </w:r>
      <w:r>
        <w:rPr>
          <w:rFonts w:eastAsia="宋体"/>
          <w:b/>
          <w:lang w:eastAsia="zh-CN"/>
        </w:rPr>
        <w:t>3</w:t>
      </w:r>
      <w:r w:rsidRPr="00056910">
        <w:rPr>
          <w:rFonts w:eastAsia="宋体"/>
          <w:b/>
          <w:lang w:eastAsia="zh-CN"/>
        </w:rPr>
        <w:t xml:space="preserve"> to </w:t>
      </w:r>
      <w:r>
        <w:rPr>
          <w:rFonts w:eastAsia="宋体"/>
          <w:b/>
          <w:lang w:eastAsia="zh-CN"/>
        </w:rPr>
        <w:t xml:space="preserve">clarify </w:t>
      </w:r>
      <w:r w:rsidRPr="00056910">
        <w:rPr>
          <w:rFonts w:eastAsia="宋体"/>
          <w:b/>
          <w:lang w:eastAsia="zh-CN"/>
        </w:rPr>
        <w:t xml:space="preserve">whether </w:t>
      </w:r>
      <w:r>
        <w:rPr>
          <w:rFonts w:eastAsia="宋体"/>
          <w:b/>
          <w:lang w:eastAsia="zh-CN"/>
        </w:rPr>
        <w:t>the</w:t>
      </w:r>
      <w:r w:rsidRPr="00056910">
        <w:rPr>
          <w:rFonts w:eastAsia="宋体"/>
          <w:b/>
          <w:lang w:eastAsia="zh-CN"/>
        </w:rPr>
        <w:t xml:space="preserve"> </w:t>
      </w:r>
      <w:r>
        <w:rPr>
          <w:rFonts w:eastAsia="宋体"/>
          <w:b/>
          <w:lang w:eastAsia="zh-CN"/>
        </w:rPr>
        <w:t>Donor-</w:t>
      </w:r>
      <w:r w:rsidRPr="00056910">
        <w:rPr>
          <w:rFonts w:eastAsia="宋体"/>
          <w:b/>
          <w:lang w:eastAsia="zh-CN"/>
        </w:rPr>
        <w:t xml:space="preserve">CU </w:t>
      </w:r>
      <w:r>
        <w:rPr>
          <w:rFonts w:eastAsia="宋体"/>
          <w:b/>
          <w:lang w:eastAsia="zh-CN"/>
        </w:rPr>
        <w:t>should know the</w:t>
      </w:r>
      <w:r w:rsidRPr="00056910">
        <w:rPr>
          <w:rFonts w:eastAsia="宋体"/>
          <w:b/>
          <w:lang w:eastAsia="zh-CN"/>
        </w:rPr>
        <w:t xml:space="preserve"> mobil</w:t>
      </w:r>
      <w:r>
        <w:rPr>
          <w:rFonts w:eastAsia="宋体"/>
          <w:b/>
          <w:lang w:eastAsia="zh-CN"/>
        </w:rPr>
        <w:t xml:space="preserve">e IAB type </w:t>
      </w:r>
      <w:r w:rsidRPr="00056910">
        <w:rPr>
          <w:rFonts w:eastAsia="宋体"/>
          <w:b/>
          <w:lang w:eastAsia="zh-CN"/>
        </w:rPr>
        <w:t>or a “</w:t>
      </w:r>
      <w:r w:rsidRPr="00F76694">
        <w:rPr>
          <w:rFonts w:eastAsia="宋体"/>
          <w:b/>
          <w:lang w:eastAsia="zh-CN"/>
        </w:rPr>
        <w:t>working/moving mode/status</w:t>
      </w:r>
      <w:r w:rsidRPr="00056910">
        <w:rPr>
          <w:rFonts w:eastAsia="宋体"/>
          <w:b/>
          <w:lang w:eastAsia="zh-CN"/>
        </w:rPr>
        <w:t>”</w:t>
      </w:r>
      <w:r>
        <w:rPr>
          <w:rFonts w:eastAsia="宋体"/>
          <w:b/>
          <w:lang w:eastAsia="zh-CN"/>
        </w:rPr>
        <w:t xml:space="preserve"> of mobile IAB-node</w:t>
      </w:r>
      <w:r w:rsidRPr="00056910">
        <w:rPr>
          <w:rFonts w:eastAsia="宋体"/>
          <w:b/>
          <w:lang w:eastAsia="zh-CN"/>
        </w:rPr>
        <w:t>.</w:t>
      </w:r>
    </w:p>
    <w:p w14:paraId="1A7BD95D" w14:textId="77777777" w:rsidR="007B1594" w:rsidRPr="00F76694" w:rsidRDefault="007B1594" w:rsidP="007B1594">
      <w:pPr>
        <w:overflowPunct w:val="0"/>
        <w:autoSpaceDE w:val="0"/>
        <w:autoSpaceDN w:val="0"/>
        <w:adjustRightInd w:val="0"/>
        <w:spacing w:after="120"/>
        <w:textAlignment w:val="baseline"/>
        <w:rPr>
          <w:rFonts w:eastAsia="宋体"/>
          <w:lang w:eastAsia="zh-CN"/>
        </w:rPr>
      </w:pPr>
      <w:r>
        <w:rPr>
          <w:rFonts w:eastAsia="宋体"/>
          <w:lang w:eastAsia="zh-CN"/>
        </w:rPr>
        <w:t>As for the target</w:t>
      </w:r>
      <w:r w:rsidRPr="00D14A95">
        <w:t xml:space="preserve"> </w:t>
      </w:r>
      <w:r w:rsidRPr="00D14A95">
        <w:rPr>
          <w:rFonts w:eastAsia="宋体"/>
          <w:lang w:eastAsia="zh-CN"/>
        </w:rPr>
        <w:t>IAB-donor</w:t>
      </w:r>
      <w:r>
        <w:rPr>
          <w:rFonts w:eastAsia="宋体"/>
          <w:lang w:eastAsia="zh-CN"/>
        </w:rPr>
        <w:t xml:space="preserve">’s awareness of the mobile IAB-node, similar to the “IAB-node indication”, the target </w:t>
      </w:r>
      <w:r w:rsidRPr="00D14A95">
        <w:rPr>
          <w:rFonts w:eastAsia="宋体"/>
          <w:lang w:eastAsia="zh-CN"/>
        </w:rPr>
        <w:t>IAB-donor</w:t>
      </w:r>
      <w:r>
        <w:rPr>
          <w:rFonts w:eastAsia="宋体"/>
          <w:lang w:eastAsia="zh-CN"/>
        </w:rPr>
        <w:t xml:space="preserve"> should know that the migration request is for a mobile IAB-node, as not all </w:t>
      </w:r>
      <w:r w:rsidRPr="00D14A95">
        <w:rPr>
          <w:rFonts w:eastAsia="宋体"/>
          <w:lang w:eastAsia="zh-CN"/>
        </w:rPr>
        <w:t>IAB-donor</w:t>
      </w:r>
      <w:r>
        <w:rPr>
          <w:rFonts w:eastAsia="宋体"/>
          <w:lang w:eastAsia="zh-CN"/>
        </w:rPr>
        <w:t>s support the mobile IAB-node. Therefore, it is proposed,</w:t>
      </w:r>
    </w:p>
    <w:p w14:paraId="4585840D" w14:textId="1879B378" w:rsidR="0003192D" w:rsidRDefault="007B1594" w:rsidP="007B1594">
      <w:pPr>
        <w:spacing w:beforeLines="50" w:before="120"/>
        <w:rPr>
          <w:rFonts w:eastAsia="宋体"/>
          <w:b/>
          <w:lang w:eastAsia="zh-CN"/>
        </w:rPr>
      </w:pPr>
      <w:r w:rsidRPr="002A54C8">
        <w:rPr>
          <w:rFonts w:eastAsia="宋体" w:hint="eastAsia"/>
          <w:b/>
          <w:lang w:eastAsia="zh-CN"/>
        </w:rPr>
        <w:t>P</w:t>
      </w:r>
      <w:r w:rsidRPr="002A54C8">
        <w:rPr>
          <w:rFonts w:eastAsia="宋体"/>
          <w:b/>
          <w:lang w:eastAsia="zh-CN"/>
        </w:rPr>
        <w:t xml:space="preserve">roposal </w:t>
      </w:r>
      <w:r>
        <w:rPr>
          <w:rFonts w:eastAsia="宋体"/>
          <w:b/>
          <w:lang w:eastAsia="zh-CN"/>
        </w:rPr>
        <w:t>5</w:t>
      </w:r>
      <w:r w:rsidRPr="002A54C8">
        <w:rPr>
          <w:rFonts w:eastAsia="宋体"/>
          <w:b/>
          <w:lang w:eastAsia="zh-CN"/>
        </w:rPr>
        <w:t>:</w:t>
      </w:r>
      <w:r w:rsidRPr="00ED7F99">
        <w:rPr>
          <w:rFonts w:eastAsia="宋体"/>
          <w:b/>
          <w:lang w:eastAsia="zh-CN"/>
        </w:rPr>
        <w:t xml:space="preserve"> </w:t>
      </w:r>
      <w:r w:rsidRPr="00A201F7">
        <w:rPr>
          <w:rFonts w:eastAsia="宋体"/>
          <w:b/>
          <w:lang w:eastAsia="zh-CN"/>
        </w:rPr>
        <w:t xml:space="preserve">Similar to Rel-17, use </w:t>
      </w:r>
      <w:r>
        <w:rPr>
          <w:rFonts w:eastAsia="宋体"/>
          <w:b/>
          <w:lang w:eastAsia="zh-CN"/>
        </w:rPr>
        <w:t>“</w:t>
      </w:r>
      <w:r w:rsidRPr="00A201F7">
        <w:rPr>
          <w:rFonts w:eastAsia="宋体"/>
          <w:b/>
          <w:lang w:eastAsia="zh-CN"/>
        </w:rPr>
        <w:t>Mobile IAB node indication</w:t>
      </w:r>
      <w:r>
        <w:rPr>
          <w:rFonts w:eastAsia="宋体"/>
          <w:b/>
          <w:lang w:eastAsia="zh-CN"/>
        </w:rPr>
        <w:t>”</w:t>
      </w:r>
      <w:r w:rsidRPr="00A201F7">
        <w:rPr>
          <w:rFonts w:eastAsia="宋体"/>
          <w:b/>
          <w:lang w:eastAsia="zh-CN"/>
        </w:rPr>
        <w:t xml:space="preserve"> in the HO request message to notify the target </w:t>
      </w:r>
      <w:r w:rsidRPr="00175F13">
        <w:rPr>
          <w:rFonts w:eastAsia="宋体"/>
          <w:b/>
          <w:lang w:eastAsia="zh-CN"/>
        </w:rPr>
        <w:t>IAB-donor</w:t>
      </w:r>
      <w:r w:rsidRPr="00A201F7">
        <w:rPr>
          <w:rFonts w:eastAsia="宋体"/>
          <w:b/>
          <w:lang w:eastAsia="zh-CN"/>
        </w:rPr>
        <w:t xml:space="preserve"> that the IAB-node is “mobile”.</w:t>
      </w:r>
    </w:p>
    <w:p w14:paraId="31EBBCF9" w14:textId="2E4E28E5" w:rsidR="007B1594" w:rsidRDefault="007B1594" w:rsidP="007E24F8">
      <w:pPr>
        <w:pStyle w:val="21"/>
        <w:rPr>
          <w:rFonts w:eastAsia="Dotum"/>
          <w:sz w:val="24"/>
          <w:szCs w:val="24"/>
          <w:lang w:eastAsia="zh-CN"/>
        </w:rPr>
      </w:pPr>
      <w:r>
        <w:rPr>
          <w:rFonts w:eastAsia="Dotum"/>
          <w:sz w:val="24"/>
          <w:szCs w:val="24"/>
          <w:lang w:eastAsia="zh-CN"/>
        </w:rPr>
        <w:t xml:space="preserve">2.3 </w:t>
      </w:r>
      <w:r w:rsidRPr="00E11EEA">
        <w:rPr>
          <w:rFonts w:eastAsia="Dotum" w:hint="eastAsia"/>
          <w:sz w:val="24"/>
          <w:szCs w:val="24"/>
          <w:lang w:eastAsia="zh-CN"/>
        </w:rPr>
        <w:t>O</w:t>
      </w:r>
      <w:r w:rsidRPr="00E11EEA">
        <w:rPr>
          <w:rFonts w:eastAsia="Dotum"/>
          <w:sz w:val="24"/>
          <w:szCs w:val="24"/>
          <w:lang w:eastAsia="zh-CN"/>
        </w:rPr>
        <w:t>n-board UE identification</w:t>
      </w:r>
    </w:p>
    <w:p w14:paraId="3BBD5E65" w14:textId="77777777" w:rsidR="007B1594" w:rsidRPr="00B86A11" w:rsidRDefault="007B1594" w:rsidP="007B1594">
      <w:pPr>
        <w:overflowPunct w:val="0"/>
        <w:autoSpaceDE w:val="0"/>
        <w:autoSpaceDN w:val="0"/>
        <w:adjustRightInd w:val="0"/>
        <w:spacing w:after="120"/>
        <w:textAlignment w:val="baseline"/>
        <w:rPr>
          <w:rFonts w:eastAsia="宋体"/>
          <w:lang w:eastAsia="zh-CN"/>
        </w:rPr>
      </w:pPr>
      <w:r w:rsidRPr="00B86A11">
        <w:rPr>
          <w:rFonts w:eastAsia="宋体" w:hint="eastAsia"/>
          <w:lang w:eastAsia="zh-CN"/>
        </w:rPr>
        <w:t>F</w:t>
      </w:r>
      <w:r w:rsidRPr="001C01AD">
        <w:rPr>
          <w:rFonts w:eastAsia="宋体"/>
          <w:lang w:eastAsia="zh-CN"/>
        </w:rPr>
        <w:t xml:space="preserve">or the identification of </w:t>
      </w:r>
      <w:r>
        <w:rPr>
          <w:rFonts w:eastAsia="宋体"/>
          <w:lang w:eastAsia="zh-CN"/>
        </w:rPr>
        <w:t>on-board UEs</w:t>
      </w:r>
      <w:r w:rsidRPr="001C01AD">
        <w:rPr>
          <w:rFonts w:eastAsia="宋体"/>
          <w:lang w:eastAsia="zh-CN"/>
        </w:rPr>
        <w:t xml:space="preserve">, we have the following agreements </w:t>
      </w:r>
      <w:r>
        <w:rPr>
          <w:rFonts w:eastAsia="宋体"/>
          <w:lang w:eastAsia="zh-CN"/>
        </w:rPr>
        <w:fldChar w:fldCharType="begin"/>
      </w:r>
      <w:r>
        <w:rPr>
          <w:rFonts w:eastAsia="宋体"/>
          <w:lang w:eastAsia="zh-CN"/>
        </w:rPr>
        <w:instrText xml:space="preserve"> REF _Ref109308746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1C01AD">
        <w:rPr>
          <w:rFonts w:eastAsia="宋体"/>
          <w:lang w:eastAsia="zh-CN"/>
        </w:rPr>
        <w:t>,</w:t>
      </w:r>
    </w:p>
    <w:p w14:paraId="6ADB1C89" w14:textId="77777777" w:rsidR="007B1594" w:rsidRPr="000C22AB" w:rsidRDefault="007B1594" w:rsidP="007B1594">
      <w:pPr>
        <w:widowControl w:val="0"/>
        <w:numPr>
          <w:ilvl w:val="0"/>
          <w:numId w:val="22"/>
        </w:numPr>
        <w:tabs>
          <w:tab w:val="num" w:pos="720"/>
        </w:tabs>
        <w:spacing w:after="0" w:line="276" w:lineRule="auto"/>
        <w:jc w:val="both"/>
        <w:rPr>
          <w:i/>
        </w:rPr>
      </w:pPr>
      <w:r w:rsidRPr="000C22AB">
        <w:rPr>
          <w:i/>
        </w:rPr>
        <w:t>RAN3 to discuss whether to support means to identify on-board UEs.</w:t>
      </w:r>
    </w:p>
    <w:p w14:paraId="72E2976C" w14:textId="77777777" w:rsidR="007B1594" w:rsidRPr="000C22AB" w:rsidRDefault="007B1594" w:rsidP="007B1594">
      <w:pPr>
        <w:overflowPunct w:val="0"/>
        <w:autoSpaceDE w:val="0"/>
        <w:autoSpaceDN w:val="0"/>
        <w:adjustRightInd w:val="0"/>
        <w:spacing w:beforeLines="50" w:before="120" w:after="120"/>
        <w:textAlignment w:val="baseline"/>
        <w:rPr>
          <w:rFonts w:eastAsia="宋体"/>
          <w:lang w:eastAsia="zh-CN"/>
        </w:rPr>
      </w:pPr>
      <w:r>
        <w:rPr>
          <w:rFonts w:eastAsia="宋体"/>
          <w:lang w:eastAsia="zh-CN"/>
        </w:rPr>
        <w:t>F</w:t>
      </w:r>
      <w:r w:rsidRPr="008C5DF4">
        <w:rPr>
          <w:rFonts w:eastAsia="宋体"/>
          <w:lang w:eastAsia="zh-CN"/>
        </w:rPr>
        <w:t xml:space="preserve">or R18 Mobile IAB, we have the principle </w:t>
      </w:r>
      <w:r>
        <w:rPr>
          <w:rFonts w:eastAsia="宋体"/>
          <w:lang w:eastAsia="zh-CN"/>
        </w:rPr>
        <w:fldChar w:fldCharType="begin"/>
      </w:r>
      <w:r>
        <w:rPr>
          <w:rFonts w:eastAsia="宋体"/>
          <w:lang w:eastAsia="zh-CN"/>
        </w:rPr>
        <w:instrText xml:space="preserve"> REF _Ref114826251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w:t>
      </w:r>
      <w:r w:rsidRPr="008C5DF4">
        <w:rPr>
          <w:rFonts w:eastAsia="宋体"/>
          <w:lang w:eastAsia="zh-CN"/>
        </w:rPr>
        <w:t>that “Mobile IAB-nodes should be able to serve legacy UEs.”, that is, regardless of the location of the UE, i.e., on-board or off-board (surrounding), the UE should be able to access the mobile IAB-node. There is no strong motivation to forbid a surrounding UE to access the mobile IAB-node.</w:t>
      </w:r>
    </w:p>
    <w:p w14:paraId="79D7FA8C" w14:textId="5EBDB683" w:rsidR="007B1594" w:rsidRPr="00D14A95" w:rsidRDefault="007B1594" w:rsidP="007B1594">
      <w:pPr>
        <w:overflowPunct w:val="0"/>
        <w:autoSpaceDE w:val="0"/>
        <w:autoSpaceDN w:val="0"/>
        <w:adjustRightInd w:val="0"/>
        <w:spacing w:after="120"/>
        <w:textAlignment w:val="baseline"/>
        <w:rPr>
          <w:rFonts w:eastAsia="宋体"/>
          <w:lang w:eastAsia="zh-CN"/>
        </w:rPr>
      </w:pPr>
      <w:r w:rsidRPr="002A54C8">
        <w:rPr>
          <w:rFonts w:eastAsia="宋体" w:hint="eastAsia"/>
          <w:b/>
          <w:lang w:eastAsia="zh-CN"/>
        </w:rPr>
        <w:t>P</w:t>
      </w:r>
      <w:r w:rsidRPr="002A54C8">
        <w:rPr>
          <w:rFonts w:eastAsia="宋体"/>
          <w:b/>
          <w:lang w:eastAsia="zh-CN"/>
        </w:rPr>
        <w:t xml:space="preserve">roposal </w:t>
      </w:r>
      <w:r>
        <w:rPr>
          <w:rFonts w:eastAsia="宋体"/>
          <w:b/>
          <w:lang w:eastAsia="zh-CN"/>
        </w:rPr>
        <w:t>6</w:t>
      </w:r>
      <w:r w:rsidRPr="002A54C8">
        <w:rPr>
          <w:rFonts w:eastAsia="宋体"/>
          <w:b/>
          <w:lang w:eastAsia="zh-CN"/>
        </w:rPr>
        <w:t>:</w:t>
      </w:r>
      <w:r w:rsidRPr="00ED7F99">
        <w:rPr>
          <w:rFonts w:eastAsia="宋体"/>
          <w:b/>
          <w:lang w:eastAsia="zh-CN"/>
        </w:rPr>
        <w:t xml:space="preserve"> </w:t>
      </w:r>
      <w:r w:rsidRPr="00056910">
        <w:rPr>
          <w:rFonts w:eastAsia="宋体"/>
          <w:b/>
          <w:lang w:eastAsia="zh-CN"/>
        </w:rPr>
        <w:t>No special standard effort is needed to prevent the surrounding UE fro</w:t>
      </w:r>
      <w:r>
        <w:rPr>
          <w:rFonts w:eastAsia="宋体"/>
          <w:b/>
          <w:lang w:eastAsia="zh-CN"/>
        </w:rPr>
        <w:t>m accessing the mobile IAB-node</w:t>
      </w:r>
      <w:r w:rsidRPr="00056910">
        <w:rPr>
          <w:rFonts w:eastAsia="宋体"/>
          <w:b/>
          <w:lang w:eastAsia="zh-CN"/>
        </w:rPr>
        <w:t>.</w:t>
      </w:r>
    </w:p>
    <w:p w14:paraId="6DB3D7D9" w14:textId="77777777" w:rsidR="007B1594" w:rsidRPr="00492DD0" w:rsidRDefault="007B1594" w:rsidP="007B1594">
      <w:pPr>
        <w:overflowPunct w:val="0"/>
        <w:autoSpaceDE w:val="0"/>
        <w:autoSpaceDN w:val="0"/>
        <w:adjustRightInd w:val="0"/>
        <w:spacing w:after="120"/>
        <w:textAlignment w:val="baseline"/>
        <w:rPr>
          <w:rFonts w:eastAsia="宋体"/>
          <w:lang w:eastAsia="zh-CN"/>
        </w:rPr>
      </w:pPr>
    </w:p>
    <w:p w14:paraId="276C9DF0" w14:textId="77777777" w:rsidR="007B1594" w:rsidRDefault="007B1594" w:rsidP="007B1594">
      <w:pPr>
        <w:overflowPunct w:val="0"/>
        <w:autoSpaceDE w:val="0"/>
        <w:autoSpaceDN w:val="0"/>
        <w:adjustRightInd w:val="0"/>
        <w:spacing w:after="120"/>
        <w:textAlignment w:val="baseline"/>
        <w:rPr>
          <w:rFonts w:eastAsia="宋体"/>
          <w:lang w:eastAsia="zh-CN"/>
        </w:rPr>
      </w:pPr>
      <w:r>
        <w:rPr>
          <w:rFonts w:eastAsia="宋体"/>
          <w:lang w:eastAsia="zh-CN"/>
        </w:rPr>
        <w:t xml:space="preserve">And according to the RAN2 #119e meeting, we have the following agreements </w:t>
      </w:r>
      <w:r>
        <w:rPr>
          <w:rFonts w:eastAsia="宋体"/>
          <w:lang w:eastAsia="zh-CN"/>
        </w:rPr>
        <w:fldChar w:fldCharType="begin"/>
      </w:r>
      <w:r>
        <w:rPr>
          <w:rFonts w:eastAsia="宋体"/>
          <w:lang w:eastAsia="zh-CN"/>
        </w:rPr>
        <w:instrText xml:space="preserve"> REF _Ref114826589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w:t>
      </w:r>
    </w:p>
    <w:p w14:paraId="0CF3CEA4" w14:textId="77777777" w:rsidR="007B1594" w:rsidRPr="003B78B9" w:rsidRDefault="007B1594" w:rsidP="007B1594">
      <w:pPr>
        <w:widowControl w:val="0"/>
        <w:numPr>
          <w:ilvl w:val="0"/>
          <w:numId w:val="22"/>
        </w:numPr>
        <w:tabs>
          <w:tab w:val="num" w:pos="720"/>
        </w:tabs>
        <w:spacing w:after="0" w:line="276" w:lineRule="auto"/>
        <w:jc w:val="both"/>
        <w:rPr>
          <w:i/>
        </w:rPr>
      </w:pPr>
      <w:r w:rsidRPr="003B78B9">
        <w:rPr>
          <w:i/>
        </w:rPr>
        <w:t xml:space="preserve">R2 assumes </w:t>
      </w:r>
      <w:r w:rsidRPr="003B78B9">
        <w:rPr>
          <w:i/>
          <w:highlight w:val="yellow"/>
        </w:rPr>
        <w:t>RACH-less procedure may be considered for on-board RRC_CONNECTED UEs</w:t>
      </w:r>
      <w:r w:rsidRPr="003B78B9">
        <w:rPr>
          <w:i/>
        </w:rPr>
        <w:t xml:space="preserve">, which are to be handed over together with the mobile IAB-node (would depend also on the assumptions for UL synch). </w:t>
      </w:r>
    </w:p>
    <w:p w14:paraId="004B23E0" w14:textId="77777777" w:rsidR="007B1594" w:rsidRDefault="007B1594" w:rsidP="007B1594">
      <w:pPr>
        <w:widowControl w:val="0"/>
        <w:numPr>
          <w:ilvl w:val="0"/>
          <w:numId w:val="22"/>
        </w:numPr>
        <w:tabs>
          <w:tab w:val="num" w:pos="720"/>
        </w:tabs>
        <w:spacing w:after="0" w:line="276" w:lineRule="auto"/>
        <w:jc w:val="both"/>
        <w:rPr>
          <w:i/>
        </w:rPr>
      </w:pPr>
      <w:r w:rsidRPr="003B78B9">
        <w:rPr>
          <w:i/>
        </w:rPr>
        <w:t xml:space="preserve">R2 assumes that </w:t>
      </w:r>
      <w:r w:rsidRPr="003B78B9">
        <w:rPr>
          <w:i/>
          <w:highlight w:val="yellow"/>
        </w:rPr>
        <w:t>CHO or delayed RRC config could be the baseline for group mobility</w:t>
      </w:r>
      <w:r w:rsidRPr="003B78B9">
        <w:rPr>
          <w:i/>
        </w:rPr>
        <w:t xml:space="preserve"> (FFS if could be applicable for mobility of IAB MT), i.e. with a preparation in advance (not immediately) of the execution. </w:t>
      </w:r>
    </w:p>
    <w:p w14:paraId="5DAC07FD" w14:textId="77777777" w:rsidR="007B1594" w:rsidRDefault="007B1594" w:rsidP="007B1594">
      <w:pPr>
        <w:overflowPunct w:val="0"/>
        <w:autoSpaceDE w:val="0"/>
        <w:autoSpaceDN w:val="0"/>
        <w:adjustRightInd w:val="0"/>
        <w:spacing w:after="120"/>
        <w:textAlignment w:val="baseline"/>
        <w:rPr>
          <w:rFonts w:eastAsia="宋体"/>
          <w:lang w:eastAsia="zh-CN"/>
        </w:rPr>
      </w:pPr>
      <w:r>
        <w:rPr>
          <w:rFonts w:eastAsia="宋体"/>
          <w:lang w:eastAsia="zh-CN"/>
        </w:rPr>
        <w:t xml:space="preserve">Both RACH-less procedure and CHO are used for the mobility enhancement of on-board connected UEs. Therefore, it is beneficial for the network to identify that the UE is on-board. However, how to identify the on-board UEs is RAN2 scope rather than RAN3. </w:t>
      </w:r>
    </w:p>
    <w:p w14:paraId="1BDE1581" w14:textId="4C4A61B9" w:rsidR="007B1594" w:rsidRPr="00DA42A1" w:rsidRDefault="007B1594" w:rsidP="007E24F8">
      <w:pPr>
        <w:overflowPunct w:val="0"/>
        <w:autoSpaceDE w:val="0"/>
        <w:autoSpaceDN w:val="0"/>
        <w:adjustRightInd w:val="0"/>
        <w:spacing w:after="120"/>
        <w:textAlignment w:val="baseline"/>
        <w:rPr>
          <w:rFonts w:eastAsia="宋体"/>
          <w:lang w:eastAsia="zh-CN"/>
        </w:rPr>
      </w:pPr>
      <w:r w:rsidRPr="002A54C8">
        <w:rPr>
          <w:rFonts w:eastAsia="宋体" w:hint="eastAsia"/>
          <w:b/>
          <w:lang w:eastAsia="zh-CN"/>
        </w:rPr>
        <w:t>P</w:t>
      </w:r>
      <w:r w:rsidRPr="002A54C8">
        <w:rPr>
          <w:rFonts w:eastAsia="宋体"/>
          <w:b/>
          <w:lang w:eastAsia="zh-CN"/>
        </w:rPr>
        <w:t xml:space="preserve">roposal </w:t>
      </w:r>
      <w:r>
        <w:rPr>
          <w:rFonts w:eastAsia="宋体"/>
          <w:b/>
          <w:lang w:eastAsia="zh-CN"/>
        </w:rPr>
        <w:t>7</w:t>
      </w:r>
      <w:r w:rsidRPr="002A54C8">
        <w:rPr>
          <w:rFonts w:eastAsia="宋体"/>
          <w:b/>
          <w:lang w:eastAsia="zh-CN"/>
        </w:rPr>
        <w:t>:</w:t>
      </w:r>
      <w:r w:rsidRPr="00ED7F99">
        <w:rPr>
          <w:rFonts w:eastAsia="宋体"/>
          <w:b/>
          <w:lang w:eastAsia="zh-CN"/>
        </w:rPr>
        <w:t xml:space="preserve"> </w:t>
      </w:r>
      <w:r>
        <w:rPr>
          <w:rFonts w:eastAsia="宋体"/>
          <w:b/>
          <w:lang w:eastAsia="zh-CN"/>
        </w:rPr>
        <w:t>RAN3 wait for RAN2 conclusion on whether and how to identify on-board UEs.</w:t>
      </w:r>
    </w:p>
    <w:p w14:paraId="0B09F2FD" w14:textId="0EB064E0" w:rsidR="00150551" w:rsidRPr="00707EB3" w:rsidRDefault="00150551" w:rsidP="00150551">
      <w:pPr>
        <w:pStyle w:val="10"/>
        <w:rPr>
          <w:rFonts w:eastAsia="宋体"/>
        </w:rPr>
      </w:pPr>
      <w:r>
        <w:rPr>
          <w:rFonts w:eastAsia="宋体"/>
        </w:rPr>
        <w:lastRenderedPageBreak/>
        <w:t xml:space="preserve">3 </w:t>
      </w:r>
      <w:r w:rsidRPr="00707EB3">
        <w:rPr>
          <w:rFonts w:eastAsia="宋体"/>
        </w:rPr>
        <w:t>Conclusion</w:t>
      </w:r>
    </w:p>
    <w:p w14:paraId="382D0BF2" w14:textId="5949F0DC" w:rsidR="00150551" w:rsidRDefault="00150551" w:rsidP="00150551">
      <w:pPr>
        <w:rPr>
          <w:lang w:val="x-none"/>
        </w:rPr>
      </w:pPr>
      <w:r w:rsidRPr="00707EB3">
        <w:t>This pape</w:t>
      </w:r>
      <w:r>
        <w:t xml:space="preserve">r mainly discusses the potential issues on the </w:t>
      </w:r>
      <w:r w:rsidR="0003192D">
        <w:t>group mobility for mobile IAB</w:t>
      </w:r>
      <w:r w:rsidR="0003192D">
        <w:rPr>
          <w:lang w:val="x-none"/>
        </w:rPr>
        <w:t>. W</w:t>
      </w:r>
      <w:r w:rsidRPr="00707EB3">
        <w:rPr>
          <w:lang w:val="x-none"/>
        </w:rPr>
        <w:t>e provide the following observation</w:t>
      </w:r>
      <w:r>
        <w:rPr>
          <w:lang w:val="x-none"/>
        </w:rPr>
        <w:t>s</w:t>
      </w:r>
      <w:r w:rsidRPr="00707EB3">
        <w:rPr>
          <w:lang w:val="x-none"/>
        </w:rPr>
        <w:t xml:space="preserve"> and proposals:</w:t>
      </w:r>
    </w:p>
    <w:p w14:paraId="422877FC" w14:textId="77777777" w:rsidR="0003192D" w:rsidRPr="00226200" w:rsidRDefault="0003192D" w:rsidP="0003192D">
      <w:pPr>
        <w:spacing w:beforeLines="50" w:before="120"/>
        <w:rPr>
          <w:b/>
        </w:rPr>
      </w:pPr>
      <w:r w:rsidRPr="00226200">
        <w:rPr>
          <w:b/>
        </w:rPr>
        <w:t xml:space="preserve">Observation 1: If the Xn HO preparation procedure for mobile-IAB can indicate some context of its serving UEs (e.g. the identifiers of the connected UEs), it will be helpful for the target CU </w:t>
      </w:r>
      <w:r>
        <w:rPr>
          <w:b/>
        </w:rPr>
        <w:t>to</w:t>
      </w:r>
      <w:r w:rsidRPr="00226200">
        <w:rPr>
          <w:b/>
        </w:rPr>
        <w:t xml:space="preserve"> determine whether to accept them all</w:t>
      </w:r>
      <w:r>
        <w:rPr>
          <w:b/>
        </w:rPr>
        <w:t>.</w:t>
      </w:r>
    </w:p>
    <w:p w14:paraId="1C27CBB9" w14:textId="77777777" w:rsidR="0003192D" w:rsidRDefault="0003192D" w:rsidP="0003192D">
      <w:pPr>
        <w:spacing w:beforeLines="50" w:before="120"/>
        <w:rPr>
          <w:rFonts w:eastAsia="宋体"/>
          <w:b/>
          <w:lang w:val="en-US" w:eastAsia="zh-CN"/>
        </w:rPr>
      </w:pPr>
      <w:r w:rsidRPr="00226200">
        <w:rPr>
          <w:rFonts w:eastAsia="宋体"/>
          <w:b/>
          <w:lang w:val="en-US" w:eastAsia="zh-CN"/>
        </w:rPr>
        <w:t>Observation 2: The benefit to consider the group based signaling of the UEs during HO preparation is F1AP signaling overhead saving, if the target CU can perform the BH configuration on the target path after it has knowledge of all the UE’s traffic.</w:t>
      </w:r>
    </w:p>
    <w:p w14:paraId="28309DC0" w14:textId="77777777" w:rsidR="0003192D" w:rsidRPr="00226200" w:rsidRDefault="0003192D" w:rsidP="0003192D">
      <w:pPr>
        <w:spacing w:beforeLines="50" w:before="120"/>
        <w:rPr>
          <w:b/>
        </w:rPr>
      </w:pPr>
      <w:r w:rsidRPr="00226200">
        <w:rPr>
          <w:b/>
        </w:rPr>
        <w:t>Proposal 1: The Xn HO preparation procedure for mobile-IAB can carry some context of its serving UEs (e.g. the identifiers of the connected UEs).</w:t>
      </w:r>
    </w:p>
    <w:p w14:paraId="388F4175" w14:textId="77777777" w:rsidR="0003192D" w:rsidRPr="00226200" w:rsidRDefault="0003192D" w:rsidP="0003192D">
      <w:pPr>
        <w:spacing w:beforeLines="50" w:before="120"/>
        <w:rPr>
          <w:b/>
        </w:rPr>
      </w:pPr>
      <w:r w:rsidRPr="00226200">
        <w:rPr>
          <w:b/>
        </w:rPr>
        <w:t xml:space="preserve">Proposal </w:t>
      </w:r>
      <w:r>
        <w:rPr>
          <w:b/>
        </w:rPr>
        <w:t>2</w:t>
      </w:r>
      <w:r w:rsidRPr="00226200">
        <w:rPr>
          <w:b/>
        </w:rPr>
        <w:t>: RAN3 consider the group signa</w:t>
      </w:r>
      <w:r>
        <w:rPr>
          <w:b/>
        </w:rPr>
        <w:t>l</w:t>
      </w:r>
      <w:r w:rsidRPr="00226200">
        <w:rPr>
          <w:b/>
        </w:rPr>
        <w:t>ling design for support</w:t>
      </w:r>
      <w:r>
        <w:rPr>
          <w:b/>
        </w:rPr>
        <w:t>ing</w:t>
      </w:r>
      <w:r w:rsidRPr="00226200">
        <w:rPr>
          <w:b/>
        </w:rPr>
        <w:t xml:space="preserve"> group HO for all connected UEs of a mobile IAB.</w:t>
      </w:r>
    </w:p>
    <w:p w14:paraId="1E441164" w14:textId="30BD1734" w:rsidR="0003192D" w:rsidRPr="0003192D" w:rsidRDefault="0003192D" w:rsidP="0003192D">
      <w:pPr>
        <w:spacing w:beforeLines="50" w:before="120"/>
        <w:rPr>
          <w:rFonts w:eastAsia="宋体"/>
          <w:b/>
        </w:rPr>
      </w:pPr>
      <w:r w:rsidRPr="0003192D">
        <w:rPr>
          <w:rFonts w:eastAsia="宋体"/>
          <w:b/>
        </w:rPr>
        <w:t>Proposal 3: The following procedures can be considered for group signalling: the handover preparation, path switch, and context release procedure</w:t>
      </w:r>
      <w:r>
        <w:rPr>
          <w:rFonts w:eastAsia="宋体"/>
          <w:b/>
        </w:rPr>
        <w:t>.</w:t>
      </w:r>
    </w:p>
    <w:p w14:paraId="2D759CC7" w14:textId="77777777" w:rsidR="009525F0" w:rsidRDefault="009525F0" w:rsidP="009525F0">
      <w:r w:rsidRPr="002A54C8">
        <w:rPr>
          <w:rFonts w:eastAsia="宋体" w:hint="eastAsia"/>
          <w:b/>
          <w:lang w:eastAsia="zh-CN"/>
        </w:rPr>
        <w:t>P</w:t>
      </w:r>
      <w:r w:rsidRPr="002A54C8">
        <w:rPr>
          <w:rFonts w:eastAsia="宋体"/>
          <w:b/>
          <w:lang w:eastAsia="zh-CN"/>
        </w:rPr>
        <w:t xml:space="preserve">roposal </w:t>
      </w:r>
      <w:r>
        <w:rPr>
          <w:rFonts w:eastAsia="宋体"/>
          <w:b/>
          <w:lang w:eastAsia="zh-CN"/>
        </w:rPr>
        <w:t>4</w:t>
      </w:r>
      <w:r w:rsidRPr="002A54C8">
        <w:rPr>
          <w:rFonts w:eastAsia="宋体"/>
          <w:b/>
          <w:lang w:eastAsia="zh-CN"/>
        </w:rPr>
        <w:t>:</w:t>
      </w:r>
      <w:r w:rsidRPr="00ED7F99">
        <w:rPr>
          <w:rFonts w:eastAsia="宋体"/>
          <w:b/>
          <w:lang w:eastAsia="zh-CN"/>
        </w:rPr>
        <w:t xml:space="preserve"> </w:t>
      </w:r>
      <w:r w:rsidRPr="00056910">
        <w:rPr>
          <w:rFonts w:eastAsia="宋体"/>
          <w:b/>
          <w:lang w:eastAsia="zh-CN"/>
        </w:rPr>
        <w:t>RAN</w:t>
      </w:r>
      <w:r>
        <w:rPr>
          <w:rFonts w:eastAsia="宋体"/>
          <w:b/>
          <w:lang w:eastAsia="zh-CN"/>
        </w:rPr>
        <w:t>3</w:t>
      </w:r>
      <w:r w:rsidRPr="00056910">
        <w:rPr>
          <w:rFonts w:eastAsia="宋体"/>
          <w:b/>
          <w:lang w:eastAsia="zh-CN"/>
        </w:rPr>
        <w:t xml:space="preserve"> to </w:t>
      </w:r>
      <w:r>
        <w:rPr>
          <w:rFonts w:eastAsia="宋体"/>
          <w:b/>
          <w:lang w:eastAsia="zh-CN"/>
        </w:rPr>
        <w:t xml:space="preserve">clarify </w:t>
      </w:r>
      <w:r w:rsidRPr="00056910">
        <w:rPr>
          <w:rFonts w:eastAsia="宋体"/>
          <w:b/>
          <w:lang w:eastAsia="zh-CN"/>
        </w:rPr>
        <w:t xml:space="preserve">whether </w:t>
      </w:r>
      <w:r>
        <w:rPr>
          <w:rFonts w:eastAsia="宋体"/>
          <w:b/>
          <w:lang w:eastAsia="zh-CN"/>
        </w:rPr>
        <w:t>the</w:t>
      </w:r>
      <w:r w:rsidRPr="00056910">
        <w:rPr>
          <w:rFonts w:eastAsia="宋体"/>
          <w:b/>
          <w:lang w:eastAsia="zh-CN"/>
        </w:rPr>
        <w:t xml:space="preserve"> </w:t>
      </w:r>
      <w:r>
        <w:rPr>
          <w:rFonts w:eastAsia="宋体"/>
          <w:b/>
          <w:lang w:eastAsia="zh-CN"/>
        </w:rPr>
        <w:t>Donor-</w:t>
      </w:r>
      <w:r w:rsidRPr="00056910">
        <w:rPr>
          <w:rFonts w:eastAsia="宋体"/>
          <w:b/>
          <w:lang w:eastAsia="zh-CN"/>
        </w:rPr>
        <w:t xml:space="preserve">CU </w:t>
      </w:r>
      <w:r>
        <w:rPr>
          <w:rFonts w:eastAsia="宋体"/>
          <w:b/>
          <w:lang w:eastAsia="zh-CN"/>
        </w:rPr>
        <w:t>should know the</w:t>
      </w:r>
      <w:r w:rsidRPr="00056910">
        <w:rPr>
          <w:rFonts w:eastAsia="宋体"/>
          <w:b/>
          <w:lang w:eastAsia="zh-CN"/>
        </w:rPr>
        <w:t xml:space="preserve"> mobil</w:t>
      </w:r>
      <w:r>
        <w:rPr>
          <w:rFonts w:eastAsia="宋体"/>
          <w:b/>
          <w:lang w:eastAsia="zh-CN"/>
        </w:rPr>
        <w:t xml:space="preserve">e IAB type </w:t>
      </w:r>
      <w:r w:rsidRPr="00056910">
        <w:rPr>
          <w:rFonts w:eastAsia="宋体"/>
          <w:b/>
          <w:lang w:eastAsia="zh-CN"/>
        </w:rPr>
        <w:t>or a “</w:t>
      </w:r>
      <w:r w:rsidRPr="00F76694">
        <w:rPr>
          <w:rFonts w:eastAsia="宋体"/>
          <w:b/>
          <w:lang w:eastAsia="zh-CN"/>
        </w:rPr>
        <w:t>working/moving mode/status</w:t>
      </w:r>
      <w:r w:rsidRPr="00056910">
        <w:rPr>
          <w:rFonts w:eastAsia="宋体"/>
          <w:b/>
          <w:lang w:eastAsia="zh-CN"/>
        </w:rPr>
        <w:t>”</w:t>
      </w:r>
      <w:r>
        <w:rPr>
          <w:rFonts w:eastAsia="宋体"/>
          <w:b/>
          <w:lang w:eastAsia="zh-CN"/>
        </w:rPr>
        <w:t xml:space="preserve"> of mobile IAB-node</w:t>
      </w:r>
      <w:r w:rsidRPr="00056910">
        <w:rPr>
          <w:rFonts w:eastAsia="宋体"/>
          <w:b/>
          <w:lang w:eastAsia="zh-CN"/>
        </w:rPr>
        <w:t>.</w:t>
      </w:r>
    </w:p>
    <w:p w14:paraId="140C40E8" w14:textId="77777777" w:rsidR="009525F0" w:rsidRDefault="009525F0" w:rsidP="009525F0">
      <w:r w:rsidRPr="002A54C8">
        <w:rPr>
          <w:rFonts w:eastAsia="宋体" w:hint="eastAsia"/>
          <w:b/>
          <w:lang w:eastAsia="zh-CN"/>
        </w:rPr>
        <w:t>P</w:t>
      </w:r>
      <w:r w:rsidRPr="002A54C8">
        <w:rPr>
          <w:rFonts w:eastAsia="宋体"/>
          <w:b/>
          <w:lang w:eastAsia="zh-CN"/>
        </w:rPr>
        <w:t xml:space="preserve">roposal </w:t>
      </w:r>
      <w:r>
        <w:rPr>
          <w:rFonts w:eastAsia="宋体"/>
          <w:b/>
          <w:lang w:eastAsia="zh-CN"/>
        </w:rPr>
        <w:t>5</w:t>
      </w:r>
      <w:r w:rsidRPr="002A54C8">
        <w:rPr>
          <w:rFonts w:eastAsia="宋体"/>
          <w:b/>
          <w:lang w:eastAsia="zh-CN"/>
        </w:rPr>
        <w:t>:</w:t>
      </w:r>
      <w:r w:rsidRPr="00ED7F99">
        <w:rPr>
          <w:rFonts w:eastAsia="宋体"/>
          <w:b/>
          <w:lang w:eastAsia="zh-CN"/>
        </w:rPr>
        <w:t xml:space="preserve"> </w:t>
      </w:r>
      <w:r w:rsidRPr="00A201F7">
        <w:rPr>
          <w:rFonts w:eastAsia="宋体"/>
          <w:b/>
          <w:lang w:eastAsia="zh-CN"/>
        </w:rPr>
        <w:t xml:space="preserve">Similar to Rel-17, use </w:t>
      </w:r>
      <w:r>
        <w:rPr>
          <w:rFonts w:eastAsia="宋体"/>
          <w:b/>
          <w:lang w:eastAsia="zh-CN"/>
        </w:rPr>
        <w:t>“</w:t>
      </w:r>
      <w:r w:rsidRPr="00A201F7">
        <w:rPr>
          <w:rFonts w:eastAsia="宋体"/>
          <w:b/>
          <w:lang w:eastAsia="zh-CN"/>
        </w:rPr>
        <w:t>Mobile IAB node indication</w:t>
      </w:r>
      <w:r>
        <w:rPr>
          <w:rFonts w:eastAsia="宋体"/>
          <w:b/>
          <w:lang w:eastAsia="zh-CN"/>
        </w:rPr>
        <w:t>”</w:t>
      </w:r>
      <w:r w:rsidRPr="00A201F7">
        <w:rPr>
          <w:rFonts w:eastAsia="宋体"/>
          <w:b/>
          <w:lang w:eastAsia="zh-CN"/>
        </w:rPr>
        <w:t xml:space="preserve"> in the HO request message to notify the target </w:t>
      </w:r>
      <w:r w:rsidRPr="00175F13">
        <w:rPr>
          <w:rFonts w:eastAsia="宋体"/>
          <w:b/>
          <w:lang w:eastAsia="zh-CN"/>
        </w:rPr>
        <w:t>IAB-donor</w:t>
      </w:r>
      <w:r w:rsidRPr="00A201F7">
        <w:rPr>
          <w:rFonts w:eastAsia="宋体"/>
          <w:b/>
          <w:lang w:eastAsia="zh-CN"/>
        </w:rPr>
        <w:t xml:space="preserve"> that the IAB-node is “mobile”.</w:t>
      </w:r>
    </w:p>
    <w:p w14:paraId="3522CA1E" w14:textId="77777777" w:rsidR="009525F0" w:rsidRDefault="009525F0" w:rsidP="009525F0">
      <w:r w:rsidRPr="002A54C8">
        <w:rPr>
          <w:rFonts w:eastAsia="宋体" w:hint="eastAsia"/>
          <w:b/>
          <w:lang w:eastAsia="zh-CN"/>
        </w:rPr>
        <w:t>P</w:t>
      </w:r>
      <w:r w:rsidRPr="002A54C8">
        <w:rPr>
          <w:rFonts w:eastAsia="宋体"/>
          <w:b/>
          <w:lang w:eastAsia="zh-CN"/>
        </w:rPr>
        <w:t xml:space="preserve">roposal </w:t>
      </w:r>
      <w:r>
        <w:rPr>
          <w:rFonts w:eastAsia="宋体"/>
          <w:b/>
          <w:lang w:eastAsia="zh-CN"/>
        </w:rPr>
        <w:t>6</w:t>
      </w:r>
      <w:r w:rsidRPr="002A54C8">
        <w:rPr>
          <w:rFonts w:eastAsia="宋体"/>
          <w:b/>
          <w:lang w:eastAsia="zh-CN"/>
        </w:rPr>
        <w:t>:</w:t>
      </w:r>
      <w:r w:rsidRPr="00ED7F99">
        <w:rPr>
          <w:rFonts w:eastAsia="宋体"/>
          <w:b/>
          <w:lang w:eastAsia="zh-CN"/>
        </w:rPr>
        <w:t xml:space="preserve"> </w:t>
      </w:r>
      <w:r w:rsidRPr="00056910">
        <w:rPr>
          <w:rFonts w:eastAsia="宋体"/>
          <w:b/>
          <w:lang w:eastAsia="zh-CN"/>
        </w:rPr>
        <w:t>No special standard effort is needed to prevent the surrounding UE fro</w:t>
      </w:r>
      <w:r>
        <w:rPr>
          <w:rFonts w:eastAsia="宋体"/>
          <w:b/>
          <w:lang w:eastAsia="zh-CN"/>
        </w:rPr>
        <w:t>m accessing the mobile IAB-node</w:t>
      </w:r>
      <w:r w:rsidRPr="00056910">
        <w:rPr>
          <w:rFonts w:eastAsia="宋体"/>
          <w:b/>
          <w:lang w:eastAsia="zh-CN"/>
        </w:rPr>
        <w:t>.</w:t>
      </w:r>
    </w:p>
    <w:p w14:paraId="7022F236" w14:textId="5D529AFF" w:rsidR="00416B3B" w:rsidRPr="009525F0" w:rsidRDefault="009525F0" w:rsidP="007E24F8">
      <w:pPr>
        <w:rPr>
          <w:rFonts w:eastAsia="宋体"/>
          <w:b/>
          <w:lang w:eastAsia="zh-CN"/>
        </w:rPr>
      </w:pPr>
      <w:r w:rsidRPr="002A54C8">
        <w:rPr>
          <w:rFonts w:eastAsia="宋体" w:hint="eastAsia"/>
          <w:b/>
          <w:lang w:eastAsia="zh-CN"/>
        </w:rPr>
        <w:t>P</w:t>
      </w:r>
      <w:r w:rsidRPr="002A54C8">
        <w:rPr>
          <w:rFonts w:eastAsia="宋体"/>
          <w:b/>
          <w:lang w:eastAsia="zh-CN"/>
        </w:rPr>
        <w:t xml:space="preserve">roposal </w:t>
      </w:r>
      <w:r>
        <w:rPr>
          <w:rFonts w:eastAsia="宋体"/>
          <w:b/>
          <w:lang w:eastAsia="zh-CN"/>
        </w:rPr>
        <w:t>7</w:t>
      </w:r>
      <w:r w:rsidRPr="002A54C8">
        <w:rPr>
          <w:rFonts w:eastAsia="宋体"/>
          <w:b/>
          <w:lang w:eastAsia="zh-CN"/>
        </w:rPr>
        <w:t>:</w:t>
      </w:r>
      <w:r w:rsidRPr="00ED7F99">
        <w:rPr>
          <w:rFonts w:eastAsia="宋体"/>
          <w:b/>
          <w:lang w:eastAsia="zh-CN"/>
        </w:rPr>
        <w:t xml:space="preserve"> </w:t>
      </w:r>
      <w:r>
        <w:rPr>
          <w:rFonts w:eastAsia="宋体"/>
          <w:b/>
          <w:lang w:eastAsia="zh-CN"/>
        </w:rPr>
        <w:t>RAN3 wait for RAN2 conclusion on whether and how to identify on-board UEs.</w:t>
      </w:r>
    </w:p>
    <w:p w14:paraId="762393B1" w14:textId="77777777" w:rsidR="005C19C0" w:rsidRDefault="005C19C0" w:rsidP="005C19C0">
      <w:pPr>
        <w:pStyle w:val="10"/>
        <w:tabs>
          <w:tab w:val="num" w:pos="432"/>
        </w:tabs>
        <w:overflowPunct w:val="0"/>
        <w:autoSpaceDE w:val="0"/>
        <w:autoSpaceDN w:val="0"/>
        <w:adjustRightInd w:val="0"/>
        <w:ind w:left="432" w:hanging="432"/>
        <w:rPr>
          <w:rFonts w:eastAsia="宋体"/>
        </w:rPr>
      </w:pPr>
      <w:r>
        <w:rPr>
          <w:rFonts w:hint="eastAsia"/>
        </w:rPr>
        <w:t>Reference</w:t>
      </w:r>
    </w:p>
    <w:p w14:paraId="4DE5DF31" w14:textId="611BDDE8" w:rsidR="005C19C0" w:rsidRPr="003A4D86" w:rsidRDefault="00472BA4" w:rsidP="002D4E86">
      <w:pPr>
        <w:pStyle w:val="af9"/>
        <w:widowControl w:val="0"/>
        <w:numPr>
          <w:ilvl w:val="0"/>
          <w:numId w:val="13"/>
        </w:numPr>
        <w:overflowPunct/>
        <w:spacing w:after="0" w:line="360" w:lineRule="auto"/>
        <w:ind w:firstLineChars="0"/>
        <w:jc w:val="both"/>
        <w:textAlignment w:val="auto"/>
        <w:rPr>
          <w:lang w:eastAsia="zh-CN"/>
        </w:rPr>
      </w:pPr>
      <w:bookmarkStart w:id="5" w:name="_Ref114840288"/>
      <w:bookmarkEnd w:id="0"/>
      <w:bookmarkEnd w:id="1"/>
      <w:r w:rsidRPr="00472BA4">
        <w:rPr>
          <w:lang w:eastAsia="zh-CN"/>
        </w:rPr>
        <w:t>RP-213601</w:t>
      </w:r>
      <w:r w:rsidRPr="00707EB3">
        <w:rPr>
          <w:lang w:eastAsia="zh-CN"/>
        </w:rPr>
        <w:t xml:space="preserve">, </w:t>
      </w:r>
      <w:r>
        <w:rPr>
          <w:lang w:eastAsia="zh-CN"/>
        </w:rPr>
        <w:t>New WID on Mobile IAB</w:t>
      </w:r>
      <w:r w:rsidRPr="00707EB3">
        <w:rPr>
          <w:lang w:eastAsia="zh-CN"/>
        </w:rPr>
        <w:t>.</w:t>
      </w:r>
      <w:r>
        <w:rPr>
          <w:lang w:eastAsia="zh-CN"/>
        </w:rPr>
        <w:t xml:space="preserve"> Qualcomm.</w:t>
      </w:r>
      <w:bookmarkEnd w:id="5"/>
      <w:r w:rsidR="005C19C0" w:rsidRPr="00472BA4">
        <w:rPr>
          <w:szCs w:val="22"/>
          <w:lang w:val="x-none"/>
        </w:rPr>
        <w:t xml:space="preserve"> </w:t>
      </w:r>
    </w:p>
    <w:p w14:paraId="114D1F40" w14:textId="7CE1DCD0" w:rsidR="00646323" w:rsidRDefault="00464CF1" w:rsidP="002D4E86">
      <w:pPr>
        <w:numPr>
          <w:ilvl w:val="0"/>
          <w:numId w:val="13"/>
        </w:numPr>
        <w:overflowPunct w:val="0"/>
        <w:autoSpaceDE w:val="0"/>
        <w:autoSpaceDN w:val="0"/>
        <w:adjustRightInd w:val="0"/>
        <w:spacing w:after="120"/>
        <w:jc w:val="both"/>
        <w:rPr>
          <w:szCs w:val="22"/>
          <w:lang w:val="x-none"/>
        </w:rPr>
      </w:pPr>
      <w:bookmarkStart w:id="6" w:name="_Ref114930672"/>
      <w:r>
        <w:rPr>
          <w:szCs w:val="22"/>
          <w:lang w:val="x-none"/>
        </w:rPr>
        <w:t>Chairman notes of</w:t>
      </w:r>
      <w:r w:rsidR="00972A87">
        <w:rPr>
          <w:szCs w:val="22"/>
          <w:lang w:val="x-none"/>
        </w:rPr>
        <w:t xml:space="preserve"> RAN3#117</w:t>
      </w:r>
      <w:r w:rsidR="007E24F8">
        <w:rPr>
          <w:szCs w:val="22"/>
          <w:lang w:val="x-none"/>
        </w:rPr>
        <w:t>e-</w:t>
      </w:r>
      <w:r>
        <w:rPr>
          <w:szCs w:val="22"/>
          <w:lang w:val="x-none"/>
        </w:rPr>
        <w:t>meeting</w:t>
      </w:r>
      <w:r w:rsidR="00972A87">
        <w:rPr>
          <w:szCs w:val="22"/>
          <w:lang w:val="x-none"/>
        </w:rPr>
        <w:t>.</w:t>
      </w:r>
      <w:bookmarkStart w:id="7" w:name="_GoBack"/>
      <w:bookmarkEnd w:id="6"/>
      <w:bookmarkEnd w:id="7"/>
    </w:p>
    <w:sectPr w:rsidR="00646323" w:rsidSect="00510DB4">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Huawei-Yuanping" w:date="2022-09-24T11:31:00Z" w:initials="HW">
    <w:p w14:paraId="091DB761" w14:textId="77777777" w:rsidR="007B1594" w:rsidRPr="00E91570" w:rsidRDefault="007B1594" w:rsidP="007B1594">
      <w:pPr>
        <w:pStyle w:val="af"/>
        <w:rPr>
          <w:rFonts w:eastAsiaTheme="minorEastAsia"/>
          <w:lang w:eastAsia="zh-CN"/>
        </w:rPr>
      </w:pPr>
      <w:r>
        <w:rPr>
          <w:rStyle w:val="ae"/>
        </w:rPr>
        <w:annotationRef/>
      </w:r>
      <w:r>
        <w:rPr>
          <w:rFonts w:eastAsiaTheme="minorEastAsia"/>
          <w:lang w:eastAsia="zh-CN"/>
        </w:rPr>
        <w:t>Actually this should be discussed by RAN2. So we make them as observation in RAN3, and propose to discuss this issue in RAN2?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1DB76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6623F" w14:textId="77777777" w:rsidR="00A47A8E" w:rsidRDefault="00A47A8E">
      <w:r>
        <w:separator/>
      </w:r>
    </w:p>
  </w:endnote>
  <w:endnote w:type="continuationSeparator" w:id="0">
    <w:p w14:paraId="463920A9" w14:textId="77777777" w:rsidR="00A47A8E" w:rsidRDefault="00A4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B5D03" w14:textId="77777777" w:rsidR="00A47A8E" w:rsidRDefault="00A47A8E">
      <w:r>
        <w:separator/>
      </w:r>
    </w:p>
  </w:footnote>
  <w:footnote w:type="continuationSeparator" w:id="0">
    <w:p w14:paraId="46BCEE93" w14:textId="77777777" w:rsidR="00A47A8E" w:rsidRDefault="00A47A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D6222"/>
    <w:multiLevelType w:val="hybridMultilevel"/>
    <w:tmpl w:val="0328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00F41A9"/>
    <w:multiLevelType w:val="hybridMultilevel"/>
    <w:tmpl w:val="BDC4A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2D33D7D"/>
    <w:multiLevelType w:val="hybridMultilevel"/>
    <w:tmpl w:val="2C203474"/>
    <w:lvl w:ilvl="0" w:tplc="57CA5B48">
      <w:start w:val="5"/>
      <w:numFmt w:val="bullet"/>
      <w:lvlText w:val="Þ"/>
      <w:lvlJc w:val="left"/>
      <w:pPr>
        <w:ind w:left="720" w:hanging="360"/>
      </w:pPr>
      <w:rPr>
        <w:rFonts w:ascii="Symbol" w:eastAsia="MS Mincho" w:hAnsi="Symbol"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E0765"/>
    <w:multiLevelType w:val="hybridMultilevel"/>
    <w:tmpl w:val="FBAA3744"/>
    <w:lvl w:ilvl="0" w:tplc="BDDAD198">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A333CF"/>
    <w:multiLevelType w:val="hybridMultilevel"/>
    <w:tmpl w:val="636A64E2"/>
    <w:lvl w:ilvl="0" w:tplc="B5BC75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2"/>
  </w:num>
  <w:num w:numId="4">
    <w:abstractNumId w:val="17"/>
  </w:num>
  <w:num w:numId="5">
    <w:abstractNumId w:val="1"/>
  </w:num>
  <w:num w:numId="6">
    <w:abstractNumId w:val="7"/>
  </w:num>
  <w:num w:numId="7">
    <w:abstractNumId w:val="13"/>
  </w:num>
  <w:num w:numId="8">
    <w:abstractNumId w:val="14"/>
  </w:num>
  <w:num w:numId="9">
    <w:abstractNumId w:val="12"/>
  </w:num>
  <w:num w:numId="10">
    <w:abstractNumId w:val="15"/>
  </w:num>
  <w:num w:numId="11">
    <w:abstractNumId w:val="18"/>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
  </w:num>
  <w:num w:numId="18">
    <w:abstractNumId w:val="8"/>
  </w:num>
  <w:num w:numId="19">
    <w:abstractNumId w:val="6"/>
  </w:num>
  <w:num w:numId="20">
    <w:abstractNumId w:val="19"/>
  </w:num>
  <w:num w:numId="21">
    <w:abstractNumId w:val="0"/>
  </w:num>
  <w:num w:numId="22">
    <w:abstractNumId w:val="3"/>
  </w:num>
  <w:num w:numId="23">
    <w:abstractNumId w:val="11"/>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6F5"/>
    <w:rsid w:val="00017C43"/>
    <w:rsid w:val="000205C0"/>
    <w:rsid w:val="00020BFF"/>
    <w:rsid w:val="000221DC"/>
    <w:rsid w:val="000224E8"/>
    <w:rsid w:val="00022E4A"/>
    <w:rsid w:val="00023E5C"/>
    <w:rsid w:val="00025434"/>
    <w:rsid w:val="00026C57"/>
    <w:rsid w:val="0002747B"/>
    <w:rsid w:val="0002791A"/>
    <w:rsid w:val="00027BC6"/>
    <w:rsid w:val="00027E54"/>
    <w:rsid w:val="000302A7"/>
    <w:rsid w:val="00031567"/>
    <w:rsid w:val="0003192D"/>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66274"/>
    <w:rsid w:val="00070BB3"/>
    <w:rsid w:val="00070CDD"/>
    <w:rsid w:val="00072EDF"/>
    <w:rsid w:val="000737BB"/>
    <w:rsid w:val="00073C97"/>
    <w:rsid w:val="00074739"/>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0DAD"/>
    <w:rsid w:val="000912E3"/>
    <w:rsid w:val="0009133E"/>
    <w:rsid w:val="00091874"/>
    <w:rsid w:val="000918C5"/>
    <w:rsid w:val="00093E22"/>
    <w:rsid w:val="00094829"/>
    <w:rsid w:val="000953C1"/>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51C7"/>
    <w:rsid w:val="000C6CBB"/>
    <w:rsid w:val="000C6D76"/>
    <w:rsid w:val="000C6E31"/>
    <w:rsid w:val="000C7168"/>
    <w:rsid w:val="000D0344"/>
    <w:rsid w:val="000D1440"/>
    <w:rsid w:val="000D3B23"/>
    <w:rsid w:val="000D468C"/>
    <w:rsid w:val="000D533A"/>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C17"/>
    <w:rsid w:val="000E71F2"/>
    <w:rsid w:val="000E7C81"/>
    <w:rsid w:val="000F00A7"/>
    <w:rsid w:val="000F025B"/>
    <w:rsid w:val="000F0A79"/>
    <w:rsid w:val="000F0A88"/>
    <w:rsid w:val="000F1936"/>
    <w:rsid w:val="000F1FC4"/>
    <w:rsid w:val="000F2D41"/>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4F"/>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999"/>
    <w:rsid w:val="00147C10"/>
    <w:rsid w:val="0015009A"/>
    <w:rsid w:val="00150551"/>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1BFE"/>
    <w:rsid w:val="00184EF7"/>
    <w:rsid w:val="00185A40"/>
    <w:rsid w:val="001860A0"/>
    <w:rsid w:val="001871A8"/>
    <w:rsid w:val="00192266"/>
    <w:rsid w:val="0019227A"/>
    <w:rsid w:val="00194D63"/>
    <w:rsid w:val="00195650"/>
    <w:rsid w:val="00197312"/>
    <w:rsid w:val="001977C8"/>
    <w:rsid w:val="00197C7B"/>
    <w:rsid w:val="001A1693"/>
    <w:rsid w:val="001A1B88"/>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511A"/>
    <w:rsid w:val="001B57B0"/>
    <w:rsid w:val="001B6380"/>
    <w:rsid w:val="001B6CDE"/>
    <w:rsid w:val="001B7CA3"/>
    <w:rsid w:val="001B7EB1"/>
    <w:rsid w:val="001C022C"/>
    <w:rsid w:val="001C111C"/>
    <w:rsid w:val="001C1982"/>
    <w:rsid w:val="001C201E"/>
    <w:rsid w:val="001C2AB9"/>
    <w:rsid w:val="001C2DD3"/>
    <w:rsid w:val="001C3A9D"/>
    <w:rsid w:val="001C4A8B"/>
    <w:rsid w:val="001C50CF"/>
    <w:rsid w:val="001C59FD"/>
    <w:rsid w:val="001C5CFB"/>
    <w:rsid w:val="001C5D7E"/>
    <w:rsid w:val="001C5F62"/>
    <w:rsid w:val="001C6466"/>
    <w:rsid w:val="001C6FB6"/>
    <w:rsid w:val="001C7C30"/>
    <w:rsid w:val="001D0CFD"/>
    <w:rsid w:val="001D1842"/>
    <w:rsid w:val="001D1EAA"/>
    <w:rsid w:val="001D2486"/>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8EE"/>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3FDA"/>
    <w:rsid w:val="001F46A0"/>
    <w:rsid w:val="001F4F2F"/>
    <w:rsid w:val="001F5B17"/>
    <w:rsid w:val="001F6117"/>
    <w:rsid w:val="001F704D"/>
    <w:rsid w:val="001F7A97"/>
    <w:rsid w:val="00200340"/>
    <w:rsid w:val="002010F1"/>
    <w:rsid w:val="0020116F"/>
    <w:rsid w:val="0020138F"/>
    <w:rsid w:val="00201673"/>
    <w:rsid w:val="002023A8"/>
    <w:rsid w:val="002023FE"/>
    <w:rsid w:val="002042A1"/>
    <w:rsid w:val="00204A12"/>
    <w:rsid w:val="0020587A"/>
    <w:rsid w:val="00205938"/>
    <w:rsid w:val="00205B9C"/>
    <w:rsid w:val="00206268"/>
    <w:rsid w:val="00206464"/>
    <w:rsid w:val="00206EF0"/>
    <w:rsid w:val="00207048"/>
    <w:rsid w:val="00207793"/>
    <w:rsid w:val="002107B2"/>
    <w:rsid w:val="0021160E"/>
    <w:rsid w:val="0021178B"/>
    <w:rsid w:val="00212651"/>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200"/>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701"/>
    <w:rsid w:val="00247B20"/>
    <w:rsid w:val="0025022A"/>
    <w:rsid w:val="0025068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16"/>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5DB2"/>
    <w:rsid w:val="002A622D"/>
    <w:rsid w:val="002A6701"/>
    <w:rsid w:val="002A6B38"/>
    <w:rsid w:val="002A6FBE"/>
    <w:rsid w:val="002B0689"/>
    <w:rsid w:val="002B1C9E"/>
    <w:rsid w:val="002B1E85"/>
    <w:rsid w:val="002B2545"/>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8FC"/>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4E86"/>
    <w:rsid w:val="002D59D1"/>
    <w:rsid w:val="002D721E"/>
    <w:rsid w:val="002D756C"/>
    <w:rsid w:val="002E068A"/>
    <w:rsid w:val="002E0B07"/>
    <w:rsid w:val="002E0E6D"/>
    <w:rsid w:val="002E16EB"/>
    <w:rsid w:val="002E1BFF"/>
    <w:rsid w:val="002E2184"/>
    <w:rsid w:val="002E2C3E"/>
    <w:rsid w:val="002E33BF"/>
    <w:rsid w:val="002E3EF6"/>
    <w:rsid w:val="002E4216"/>
    <w:rsid w:val="002E44F4"/>
    <w:rsid w:val="002E47A2"/>
    <w:rsid w:val="002E4C5F"/>
    <w:rsid w:val="002E4EE2"/>
    <w:rsid w:val="002E56C7"/>
    <w:rsid w:val="002E5A45"/>
    <w:rsid w:val="002E5E1A"/>
    <w:rsid w:val="002E71D9"/>
    <w:rsid w:val="002E74B9"/>
    <w:rsid w:val="002F03BC"/>
    <w:rsid w:val="002F1E63"/>
    <w:rsid w:val="002F2315"/>
    <w:rsid w:val="002F26AC"/>
    <w:rsid w:val="002F2820"/>
    <w:rsid w:val="002F33C7"/>
    <w:rsid w:val="002F4309"/>
    <w:rsid w:val="002F4657"/>
    <w:rsid w:val="002F4DA2"/>
    <w:rsid w:val="002F55B2"/>
    <w:rsid w:val="002F59B9"/>
    <w:rsid w:val="002F6B54"/>
    <w:rsid w:val="002F7A88"/>
    <w:rsid w:val="002F7F8B"/>
    <w:rsid w:val="003001D0"/>
    <w:rsid w:val="003014D7"/>
    <w:rsid w:val="00301A02"/>
    <w:rsid w:val="00302459"/>
    <w:rsid w:val="003028B2"/>
    <w:rsid w:val="00303421"/>
    <w:rsid w:val="003034F2"/>
    <w:rsid w:val="0030384A"/>
    <w:rsid w:val="00303DCF"/>
    <w:rsid w:val="003045A8"/>
    <w:rsid w:val="00304CEE"/>
    <w:rsid w:val="00305706"/>
    <w:rsid w:val="00305BD4"/>
    <w:rsid w:val="00305EE5"/>
    <w:rsid w:val="0030696B"/>
    <w:rsid w:val="003079D9"/>
    <w:rsid w:val="00310AAF"/>
    <w:rsid w:val="00310F20"/>
    <w:rsid w:val="00311090"/>
    <w:rsid w:val="0031179C"/>
    <w:rsid w:val="0031282D"/>
    <w:rsid w:val="00312856"/>
    <w:rsid w:val="00312ADD"/>
    <w:rsid w:val="0031337E"/>
    <w:rsid w:val="0031543D"/>
    <w:rsid w:val="00315E81"/>
    <w:rsid w:val="00315F2F"/>
    <w:rsid w:val="00316A3A"/>
    <w:rsid w:val="00316C0C"/>
    <w:rsid w:val="00316D12"/>
    <w:rsid w:val="00316D4A"/>
    <w:rsid w:val="003205DA"/>
    <w:rsid w:val="003208C3"/>
    <w:rsid w:val="0032128F"/>
    <w:rsid w:val="0032143F"/>
    <w:rsid w:val="0032190D"/>
    <w:rsid w:val="003226C7"/>
    <w:rsid w:val="00322BF9"/>
    <w:rsid w:val="00323ED7"/>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52B6"/>
    <w:rsid w:val="003457C2"/>
    <w:rsid w:val="00346560"/>
    <w:rsid w:val="00346577"/>
    <w:rsid w:val="00346B5D"/>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586B"/>
    <w:rsid w:val="003862C3"/>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2977"/>
    <w:rsid w:val="003A2B99"/>
    <w:rsid w:val="003A2DC0"/>
    <w:rsid w:val="003A2E9C"/>
    <w:rsid w:val="003A38B6"/>
    <w:rsid w:val="003A41E4"/>
    <w:rsid w:val="003A4D86"/>
    <w:rsid w:val="003A4FE1"/>
    <w:rsid w:val="003A557A"/>
    <w:rsid w:val="003A5726"/>
    <w:rsid w:val="003A5B8B"/>
    <w:rsid w:val="003A6006"/>
    <w:rsid w:val="003A67E1"/>
    <w:rsid w:val="003A6D6C"/>
    <w:rsid w:val="003A754E"/>
    <w:rsid w:val="003B2C5E"/>
    <w:rsid w:val="003B3117"/>
    <w:rsid w:val="003B39D6"/>
    <w:rsid w:val="003B5800"/>
    <w:rsid w:val="003B5A40"/>
    <w:rsid w:val="003B7703"/>
    <w:rsid w:val="003B7C7F"/>
    <w:rsid w:val="003B7D4F"/>
    <w:rsid w:val="003B7D53"/>
    <w:rsid w:val="003C1312"/>
    <w:rsid w:val="003C1645"/>
    <w:rsid w:val="003C3310"/>
    <w:rsid w:val="003C4C53"/>
    <w:rsid w:val="003C61BC"/>
    <w:rsid w:val="003C6D51"/>
    <w:rsid w:val="003C7216"/>
    <w:rsid w:val="003C7845"/>
    <w:rsid w:val="003D0B5F"/>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482E"/>
    <w:rsid w:val="003F5304"/>
    <w:rsid w:val="003F5516"/>
    <w:rsid w:val="003F58A8"/>
    <w:rsid w:val="003F6A59"/>
    <w:rsid w:val="003F7C50"/>
    <w:rsid w:val="0040242D"/>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16B3B"/>
    <w:rsid w:val="004201F7"/>
    <w:rsid w:val="0042099A"/>
    <w:rsid w:val="00420A5D"/>
    <w:rsid w:val="00421EAB"/>
    <w:rsid w:val="00422F69"/>
    <w:rsid w:val="004253B9"/>
    <w:rsid w:val="0042735E"/>
    <w:rsid w:val="0043083B"/>
    <w:rsid w:val="00431E9D"/>
    <w:rsid w:val="00432019"/>
    <w:rsid w:val="00433E63"/>
    <w:rsid w:val="004341F2"/>
    <w:rsid w:val="00434BE2"/>
    <w:rsid w:val="00435C19"/>
    <w:rsid w:val="00435C42"/>
    <w:rsid w:val="00436F94"/>
    <w:rsid w:val="00437000"/>
    <w:rsid w:val="00437312"/>
    <w:rsid w:val="00437A99"/>
    <w:rsid w:val="00437FF7"/>
    <w:rsid w:val="004406B0"/>
    <w:rsid w:val="0044265E"/>
    <w:rsid w:val="00442861"/>
    <w:rsid w:val="00443515"/>
    <w:rsid w:val="0044366C"/>
    <w:rsid w:val="0044367F"/>
    <w:rsid w:val="00444983"/>
    <w:rsid w:val="00444AAF"/>
    <w:rsid w:val="00444F8C"/>
    <w:rsid w:val="004453C9"/>
    <w:rsid w:val="00445A1C"/>
    <w:rsid w:val="0044648D"/>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6072B"/>
    <w:rsid w:val="004607BA"/>
    <w:rsid w:val="00460DFE"/>
    <w:rsid w:val="004612A8"/>
    <w:rsid w:val="00461BC9"/>
    <w:rsid w:val="00462325"/>
    <w:rsid w:val="0046249C"/>
    <w:rsid w:val="0046486C"/>
    <w:rsid w:val="00464CF1"/>
    <w:rsid w:val="00465A8E"/>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07E"/>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870"/>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1046"/>
    <w:rsid w:val="004C14E9"/>
    <w:rsid w:val="004C1DF2"/>
    <w:rsid w:val="004C1E9F"/>
    <w:rsid w:val="004C3296"/>
    <w:rsid w:val="004C494A"/>
    <w:rsid w:val="004C49B4"/>
    <w:rsid w:val="004C4FA4"/>
    <w:rsid w:val="004C5480"/>
    <w:rsid w:val="004C5649"/>
    <w:rsid w:val="004C67F2"/>
    <w:rsid w:val="004C702B"/>
    <w:rsid w:val="004C728C"/>
    <w:rsid w:val="004C7705"/>
    <w:rsid w:val="004D02C4"/>
    <w:rsid w:val="004D0597"/>
    <w:rsid w:val="004D1606"/>
    <w:rsid w:val="004D192C"/>
    <w:rsid w:val="004D221A"/>
    <w:rsid w:val="004D2430"/>
    <w:rsid w:val="004D244F"/>
    <w:rsid w:val="004D3164"/>
    <w:rsid w:val="004D34DB"/>
    <w:rsid w:val="004D3B38"/>
    <w:rsid w:val="004D5606"/>
    <w:rsid w:val="004D5C32"/>
    <w:rsid w:val="004D6157"/>
    <w:rsid w:val="004D679B"/>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1A9E"/>
    <w:rsid w:val="00522187"/>
    <w:rsid w:val="00522396"/>
    <w:rsid w:val="005223F3"/>
    <w:rsid w:val="00522A48"/>
    <w:rsid w:val="00523857"/>
    <w:rsid w:val="00523B56"/>
    <w:rsid w:val="005242AC"/>
    <w:rsid w:val="00524AA4"/>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0C5E"/>
    <w:rsid w:val="005622FA"/>
    <w:rsid w:val="0056235C"/>
    <w:rsid w:val="00562B00"/>
    <w:rsid w:val="0056308E"/>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87E59"/>
    <w:rsid w:val="00591B67"/>
    <w:rsid w:val="00591F90"/>
    <w:rsid w:val="00592C71"/>
    <w:rsid w:val="00593412"/>
    <w:rsid w:val="005936AE"/>
    <w:rsid w:val="005936AF"/>
    <w:rsid w:val="00593CFF"/>
    <w:rsid w:val="00593FFC"/>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19C0"/>
    <w:rsid w:val="005C25B7"/>
    <w:rsid w:val="005C3EA0"/>
    <w:rsid w:val="005C4141"/>
    <w:rsid w:val="005C497D"/>
    <w:rsid w:val="005C66B6"/>
    <w:rsid w:val="005C7656"/>
    <w:rsid w:val="005D0520"/>
    <w:rsid w:val="005D0798"/>
    <w:rsid w:val="005D1791"/>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1F54"/>
    <w:rsid w:val="00633397"/>
    <w:rsid w:val="0063381B"/>
    <w:rsid w:val="0063389D"/>
    <w:rsid w:val="00633E5D"/>
    <w:rsid w:val="0063477A"/>
    <w:rsid w:val="00634784"/>
    <w:rsid w:val="00634C72"/>
    <w:rsid w:val="00635D14"/>
    <w:rsid w:val="006372A6"/>
    <w:rsid w:val="00637894"/>
    <w:rsid w:val="006407A8"/>
    <w:rsid w:val="00641134"/>
    <w:rsid w:val="006418C7"/>
    <w:rsid w:val="0064282B"/>
    <w:rsid w:val="006429F8"/>
    <w:rsid w:val="0064351D"/>
    <w:rsid w:val="006438A5"/>
    <w:rsid w:val="006439F7"/>
    <w:rsid w:val="00643D70"/>
    <w:rsid w:val="00643FDE"/>
    <w:rsid w:val="0064476B"/>
    <w:rsid w:val="00646323"/>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65FF"/>
    <w:rsid w:val="006775A3"/>
    <w:rsid w:val="00681497"/>
    <w:rsid w:val="00681ED0"/>
    <w:rsid w:val="00683590"/>
    <w:rsid w:val="00683A98"/>
    <w:rsid w:val="0068422A"/>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70F"/>
    <w:rsid w:val="006C09F2"/>
    <w:rsid w:val="006C0BE2"/>
    <w:rsid w:val="006C0EE6"/>
    <w:rsid w:val="006C122B"/>
    <w:rsid w:val="006C29B2"/>
    <w:rsid w:val="006C33B9"/>
    <w:rsid w:val="006C366D"/>
    <w:rsid w:val="006C3E60"/>
    <w:rsid w:val="006C4300"/>
    <w:rsid w:val="006C4736"/>
    <w:rsid w:val="006C481F"/>
    <w:rsid w:val="006C62DC"/>
    <w:rsid w:val="006C6605"/>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95F"/>
    <w:rsid w:val="006F3F78"/>
    <w:rsid w:val="006F495F"/>
    <w:rsid w:val="006F4DAF"/>
    <w:rsid w:val="006F4F50"/>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58E2"/>
    <w:rsid w:val="007464A1"/>
    <w:rsid w:val="00746768"/>
    <w:rsid w:val="007468E1"/>
    <w:rsid w:val="00746DAC"/>
    <w:rsid w:val="007503B9"/>
    <w:rsid w:val="007506E8"/>
    <w:rsid w:val="0075158B"/>
    <w:rsid w:val="0075286F"/>
    <w:rsid w:val="007538D1"/>
    <w:rsid w:val="00753A02"/>
    <w:rsid w:val="0075402D"/>
    <w:rsid w:val="00754097"/>
    <w:rsid w:val="00754854"/>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32E5"/>
    <w:rsid w:val="007A3695"/>
    <w:rsid w:val="007A4999"/>
    <w:rsid w:val="007A4CD1"/>
    <w:rsid w:val="007A5589"/>
    <w:rsid w:val="007A7292"/>
    <w:rsid w:val="007A76A0"/>
    <w:rsid w:val="007A7F18"/>
    <w:rsid w:val="007B1594"/>
    <w:rsid w:val="007B1D5F"/>
    <w:rsid w:val="007B446A"/>
    <w:rsid w:val="007B512A"/>
    <w:rsid w:val="007B5849"/>
    <w:rsid w:val="007B5967"/>
    <w:rsid w:val="007B6697"/>
    <w:rsid w:val="007B6720"/>
    <w:rsid w:val="007B744C"/>
    <w:rsid w:val="007B74F1"/>
    <w:rsid w:val="007C0D6B"/>
    <w:rsid w:val="007C1493"/>
    <w:rsid w:val="007C1ABF"/>
    <w:rsid w:val="007C2BF9"/>
    <w:rsid w:val="007C31E4"/>
    <w:rsid w:val="007C377C"/>
    <w:rsid w:val="007C39A6"/>
    <w:rsid w:val="007C3D26"/>
    <w:rsid w:val="007C4D2A"/>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5A7A"/>
    <w:rsid w:val="007D6BB2"/>
    <w:rsid w:val="007D6BEB"/>
    <w:rsid w:val="007D7072"/>
    <w:rsid w:val="007D73EF"/>
    <w:rsid w:val="007E06D6"/>
    <w:rsid w:val="007E2042"/>
    <w:rsid w:val="007E220C"/>
    <w:rsid w:val="007E2488"/>
    <w:rsid w:val="007E24F8"/>
    <w:rsid w:val="007E2E1C"/>
    <w:rsid w:val="007E3B8F"/>
    <w:rsid w:val="007E5BA3"/>
    <w:rsid w:val="007E6913"/>
    <w:rsid w:val="007E74CD"/>
    <w:rsid w:val="007E7FB5"/>
    <w:rsid w:val="007E7FB6"/>
    <w:rsid w:val="007F0AE8"/>
    <w:rsid w:val="007F0E6B"/>
    <w:rsid w:val="007F11E8"/>
    <w:rsid w:val="007F12FC"/>
    <w:rsid w:val="007F1803"/>
    <w:rsid w:val="007F2759"/>
    <w:rsid w:val="007F3CAA"/>
    <w:rsid w:val="007F4E74"/>
    <w:rsid w:val="007F749D"/>
    <w:rsid w:val="007F750E"/>
    <w:rsid w:val="007F75C0"/>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5CC"/>
    <w:rsid w:val="008279BD"/>
    <w:rsid w:val="00827BE8"/>
    <w:rsid w:val="0083009B"/>
    <w:rsid w:val="0083056C"/>
    <w:rsid w:val="00830FC2"/>
    <w:rsid w:val="008316E1"/>
    <w:rsid w:val="0083245A"/>
    <w:rsid w:val="00832E34"/>
    <w:rsid w:val="00832EE8"/>
    <w:rsid w:val="00833076"/>
    <w:rsid w:val="00833992"/>
    <w:rsid w:val="008341DD"/>
    <w:rsid w:val="0083431B"/>
    <w:rsid w:val="008348BE"/>
    <w:rsid w:val="00834FC6"/>
    <w:rsid w:val="00835204"/>
    <w:rsid w:val="0083520C"/>
    <w:rsid w:val="0083568C"/>
    <w:rsid w:val="0083606D"/>
    <w:rsid w:val="00836974"/>
    <w:rsid w:val="008376F0"/>
    <w:rsid w:val="00837EEB"/>
    <w:rsid w:val="008413D0"/>
    <w:rsid w:val="008421D3"/>
    <w:rsid w:val="00842F5B"/>
    <w:rsid w:val="0084390A"/>
    <w:rsid w:val="00843B67"/>
    <w:rsid w:val="0084422A"/>
    <w:rsid w:val="00845A4F"/>
    <w:rsid w:val="00846A3E"/>
    <w:rsid w:val="00846E9B"/>
    <w:rsid w:val="00847222"/>
    <w:rsid w:val="00847343"/>
    <w:rsid w:val="00850DCF"/>
    <w:rsid w:val="00851D21"/>
    <w:rsid w:val="008525BE"/>
    <w:rsid w:val="008532A9"/>
    <w:rsid w:val="008537FC"/>
    <w:rsid w:val="00853E8D"/>
    <w:rsid w:val="00855B68"/>
    <w:rsid w:val="00855EEE"/>
    <w:rsid w:val="0085631C"/>
    <w:rsid w:val="0085641C"/>
    <w:rsid w:val="00857986"/>
    <w:rsid w:val="008607C5"/>
    <w:rsid w:val="0086080E"/>
    <w:rsid w:val="00862DDF"/>
    <w:rsid w:val="00863CD7"/>
    <w:rsid w:val="008643A9"/>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38A3"/>
    <w:rsid w:val="00883AE0"/>
    <w:rsid w:val="00883DE9"/>
    <w:rsid w:val="00883E88"/>
    <w:rsid w:val="008847F8"/>
    <w:rsid w:val="00884A7E"/>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7872"/>
    <w:rsid w:val="00897B9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9CD"/>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D1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5F0"/>
    <w:rsid w:val="00952D97"/>
    <w:rsid w:val="00952DFC"/>
    <w:rsid w:val="009532B9"/>
    <w:rsid w:val="00953C09"/>
    <w:rsid w:val="00954A16"/>
    <w:rsid w:val="009551BA"/>
    <w:rsid w:val="00955911"/>
    <w:rsid w:val="00955C83"/>
    <w:rsid w:val="00955EC7"/>
    <w:rsid w:val="009568A6"/>
    <w:rsid w:val="009568A8"/>
    <w:rsid w:val="00956F3A"/>
    <w:rsid w:val="009612A1"/>
    <w:rsid w:val="00961780"/>
    <w:rsid w:val="00961F4D"/>
    <w:rsid w:val="009642D6"/>
    <w:rsid w:val="00964DEA"/>
    <w:rsid w:val="00965C4B"/>
    <w:rsid w:val="00966677"/>
    <w:rsid w:val="00966E9C"/>
    <w:rsid w:val="00967109"/>
    <w:rsid w:val="00967BBC"/>
    <w:rsid w:val="00970245"/>
    <w:rsid w:val="00970271"/>
    <w:rsid w:val="00971D2B"/>
    <w:rsid w:val="00972179"/>
    <w:rsid w:val="00972A87"/>
    <w:rsid w:val="009730B0"/>
    <w:rsid w:val="00974045"/>
    <w:rsid w:val="009744D0"/>
    <w:rsid w:val="0097454C"/>
    <w:rsid w:val="00974677"/>
    <w:rsid w:val="00974794"/>
    <w:rsid w:val="009749F3"/>
    <w:rsid w:val="00974FA3"/>
    <w:rsid w:val="009755EE"/>
    <w:rsid w:val="009756A6"/>
    <w:rsid w:val="00975B05"/>
    <w:rsid w:val="00975E6F"/>
    <w:rsid w:val="00976714"/>
    <w:rsid w:val="0097679C"/>
    <w:rsid w:val="00976F6C"/>
    <w:rsid w:val="00977536"/>
    <w:rsid w:val="00980067"/>
    <w:rsid w:val="00980D31"/>
    <w:rsid w:val="00981B7A"/>
    <w:rsid w:val="00981BB7"/>
    <w:rsid w:val="00981C13"/>
    <w:rsid w:val="00981DCB"/>
    <w:rsid w:val="00982B90"/>
    <w:rsid w:val="00983665"/>
    <w:rsid w:val="00983A3A"/>
    <w:rsid w:val="009840AE"/>
    <w:rsid w:val="00985C52"/>
    <w:rsid w:val="00986DE3"/>
    <w:rsid w:val="00987F4F"/>
    <w:rsid w:val="00990189"/>
    <w:rsid w:val="00990380"/>
    <w:rsid w:val="00990A84"/>
    <w:rsid w:val="00990FB1"/>
    <w:rsid w:val="00991380"/>
    <w:rsid w:val="00992F7D"/>
    <w:rsid w:val="009930E6"/>
    <w:rsid w:val="009935B7"/>
    <w:rsid w:val="00994276"/>
    <w:rsid w:val="00994B55"/>
    <w:rsid w:val="00995239"/>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2EF1"/>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4256"/>
    <w:rsid w:val="009F458D"/>
    <w:rsid w:val="009F4672"/>
    <w:rsid w:val="009F5C3D"/>
    <w:rsid w:val="009F6450"/>
    <w:rsid w:val="009F6C4F"/>
    <w:rsid w:val="009F7C31"/>
    <w:rsid w:val="00A00590"/>
    <w:rsid w:val="00A007DD"/>
    <w:rsid w:val="00A03496"/>
    <w:rsid w:val="00A03D23"/>
    <w:rsid w:val="00A05D90"/>
    <w:rsid w:val="00A0622B"/>
    <w:rsid w:val="00A06BE4"/>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A8E"/>
    <w:rsid w:val="00A47E70"/>
    <w:rsid w:val="00A50399"/>
    <w:rsid w:val="00A505FF"/>
    <w:rsid w:val="00A507A1"/>
    <w:rsid w:val="00A544DB"/>
    <w:rsid w:val="00A55128"/>
    <w:rsid w:val="00A55835"/>
    <w:rsid w:val="00A55CBD"/>
    <w:rsid w:val="00A56772"/>
    <w:rsid w:val="00A570EF"/>
    <w:rsid w:val="00A60619"/>
    <w:rsid w:val="00A61D78"/>
    <w:rsid w:val="00A62658"/>
    <w:rsid w:val="00A62B37"/>
    <w:rsid w:val="00A632EB"/>
    <w:rsid w:val="00A63584"/>
    <w:rsid w:val="00A638C7"/>
    <w:rsid w:val="00A63C72"/>
    <w:rsid w:val="00A64833"/>
    <w:rsid w:val="00A64F6B"/>
    <w:rsid w:val="00A671CE"/>
    <w:rsid w:val="00A677DD"/>
    <w:rsid w:val="00A711DC"/>
    <w:rsid w:val="00A71FE2"/>
    <w:rsid w:val="00A7250A"/>
    <w:rsid w:val="00A725DB"/>
    <w:rsid w:val="00A72DE1"/>
    <w:rsid w:val="00A730E8"/>
    <w:rsid w:val="00A7314C"/>
    <w:rsid w:val="00A73682"/>
    <w:rsid w:val="00A73BFE"/>
    <w:rsid w:val="00A740DE"/>
    <w:rsid w:val="00A7420F"/>
    <w:rsid w:val="00A74B44"/>
    <w:rsid w:val="00A7613D"/>
    <w:rsid w:val="00A766B8"/>
    <w:rsid w:val="00A76980"/>
    <w:rsid w:val="00A77061"/>
    <w:rsid w:val="00A8011C"/>
    <w:rsid w:val="00A816A6"/>
    <w:rsid w:val="00A81C95"/>
    <w:rsid w:val="00A8205B"/>
    <w:rsid w:val="00A8255B"/>
    <w:rsid w:val="00A82733"/>
    <w:rsid w:val="00A82EAB"/>
    <w:rsid w:val="00A83083"/>
    <w:rsid w:val="00A83254"/>
    <w:rsid w:val="00A83501"/>
    <w:rsid w:val="00A83E7D"/>
    <w:rsid w:val="00A83ED4"/>
    <w:rsid w:val="00A85669"/>
    <w:rsid w:val="00A861B1"/>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69A0"/>
    <w:rsid w:val="00AA73DA"/>
    <w:rsid w:val="00AA7DFA"/>
    <w:rsid w:val="00AB057B"/>
    <w:rsid w:val="00AB08D9"/>
    <w:rsid w:val="00AB1925"/>
    <w:rsid w:val="00AB2179"/>
    <w:rsid w:val="00AB22F8"/>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1F2C"/>
    <w:rsid w:val="00B2333A"/>
    <w:rsid w:val="00B235F4"/>
    <w:rsid w:val="00B23E9D"/>
    <w:rsid w:val="00B24378"/>
    <w:rsid w:val="00B26195"/>
    <w:rsid w:val="00B27C79"/>
    <w:rsid w:val="00B27F94"/>
    <w:rsid w:val="00B30D09"/>
    <w:rsid w:val="00B31AB3"/>
    <w:rsid w:val="00B31E2B"/>
    <w:rsid w:val="00B31ED2"/>
    <w:rsid w:val="00B3212C"/>
    <w:rsid w:val="00B3257E"/>
    <w:rsid w:val="00B3269E"/>
    <w:rsid w:val="00B3360C"/>
    <w:rsid w:val="00B338E7"/>
    <w:rsid w:val="00B33B84"/>
    <w:rsid w:val="00B347E8"/>
    <w:rsid w:val="00B34A43"/>
    <w:rsid w:val="00B34A8B"/>
    <w:rsid w:val="00B34FB1"/>
    <w:rsid w:val="00B35191"/>
    <w:rsid w:val="00B35CC0"/>
    <w:rsid w:val="00B36552"/>
    <w:rsid w:val="00B40BA4"/>
    <w:rsid w:val="00B40DC0"/>
    <w:rsid w:val="00B41217"/>
    <w:rsid w:val="00B41E30"/>
    <w:rsid w:val="00B42D10"/>
    <w:rsid w:val="00B4374E"/>
    <w:rsid w:val="00B44656"/>
    <w:rsid w:val="00B45A16"/>
    <w:rsid w:val="00B4694B"/>
    <w:rsid w:val="00B47C0A"/>
    <w:rsid w:val="00B50132"/>
    <w:rsid w:val="00B50621"/>
    <w:rsid w:val="00B50707"/>
    <w:rsid w:val="00B51609"/>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1E1"/>
    <w:rsid w:val="00B91474"/>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6430"/>
    <w:rsid w:val="00BB6A53"/>
    <w:rsid w:val="00BB6B31"/>
    <w:rsid w:val="00BB7367"/>
    <w:rsid w:val="00BB75BD"/>
    <w:rsid w:val="00BC0496"/>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2ED4"/>
    <w:rsid w:val="00BF3830"/>
    <w:rsid w:val="00BF38BA"/>
    <w:rsid w:val="00BF394D"/>
    <w:rsid w:val="00BF3988"/>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36A6"/>
    <w:rsid w:val="00C138D6"/>
    <w:rsid w:val="00C1434A"/>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31A"/>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6F55"/>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51A3"/>
    <w:rsid w:val="00D0592B"/>
    <w:rsid w:val="00D07AEA"/>
    <w:rsid w:val="00D106C8"/>
    <w:rsid w:val="00D11191"/>
    <w:rsid w:val="00D12684"/>
    <w:rsid w:val="00D129E1"/>
    <w:rsid w:val="00D13AF7"/>
    <w:rsid w:val="00D14BDC"/>
    <w:rsid w:val="00D1547D"/>
    <w:rsid w:val="00D15747"/>
    <w:rsid w:val="00D15834"/>
    <w:rsid w:val="00D15B3F"/>
    <w:rsid w:val="00D15D1D"/>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50BB"/>
    <w:rsid w:val="00D377E1"/>
    <w:rsid w:val="00D37B0F"/>
    <w:rsid w:val="00D40198"/>
    <w:rsid w:val="00D40910"/>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54BE"/>
    <w:rsid w:val="00D5601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AA1"/>
    <w:rsid w:val="00D94E69"/>
    <w:rsid w:val="00D952E4"/>
    <w:rsid w:val="00D95B22"/>
    <w:rsid w:val="00D976EA"/>
    <w:rsid w:val="00D97DF1"/>
    <w:rsid w:val="00DA0CE1"/>
    <w:rsid w:val="00DA0D96"/>
    <w:rsid w:val="00DA32E6"/>
    <w:rsid w:val="00DA32F7"/>
    <w:rsid w:val="00DA3404"/>
    <w:rsid w:val="00DA3F70"/>
    <w:rsid w:val="00DA42A1"/>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6976"/>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2CD8"/>
    <w:rsid w:val="00E03A59"/>
    <w:rsid w:val="00E03A6C"/>
    <w:rsid w:val="00E03C6D"/>
    <w:rsid w:val="00E03EB1"/>
    <w:rsid w:val="00E0429F"/>
    <w:rsid w:val="00E044E8"/>
    <w:rsid w:val="00E10018"/>
    <w:rsid w:val="00E10F6B"/>
    <w:rsid w:val="00E119DC"/>
    <w:rsid w:val="00E12F74"/>
    <w:rsid w:val="00E139CA"/>
    <w:rsid w:val="00E14070"/>
    <w:rsid w:val="00E14A2C"/>
    <w:rsid w:val="00E151AC"/>
    <w:rsid w:val="00E15C46"/>
    <w:rsid w:val="00E15E28"/>
    <w:rsid w:val="00E16632"/>
    <w:rsid w:val="00E16BCC"/>
    <w:rsid w:val="00E16F1D"/>
    <w:rsid w:val="00E17FCE"/>
    <w:rsid w:val="00E214EB"/>
    <w:rsid w:val="00E21906"/>
    <w:rsid w:val="00E22AF9"/>
    <w:rsid w:val="00E232BC"/>
    <w:rsid w:val="00E234D2"/>
    <w:rsid w:val="00E23835"/>
    <w:rsid w:val="00E2518A"/>
    <w:rsid w:val="00E3067F"/>
    <w:rsid w:val="00E307BA"/>
    <w:rsid w:val="00E30D80"/>
    <w:rsid w:val="00E3131F"/>
    <w:rsid w:val="00E31582"/>
    <w:rsid w:val="00E319C5"/>
    <w:rsid w:val="00E31B55"/>
    <w:rsid w:val="00E3249F"/>
    <w:rsid w:val="00E324CC"/>
    <w:rsid w:val="00E33380"/>
    <w:rsid w:val="00E34407"/>
    <w:rsid w:val="00E3467F"/>
    <w:rsid w:val="00E35618"/>
    <w:rsid w:val="00E35C77"/>
    <w:rsid w:val="00E37191"/>
    <w:rsid w:val="00E37719"/>
    <w:rsid w:val="00E413B8"/>
    <w:rsid w:val="00E41A41"/>
    <w:rsid w:val="00E41CD1"/>
    <w:rsid w:val="00E42750"/>
    <w:rsid w:val="00E42AC9"/>
    <w:rsid w:val="00E42E27"/>
    <w:rsid w:val="00E43093"/>
    <w:rsid w:val="00E43316"/>
    <w:rsid w:val="00E4440F"/>
    <w:rsid w:val="00E454D5"/>
    <w:rsid w:val="00E4699A"/>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1ABA"/>
    <w:rsid w:val="00E632D6"/>
    <w:rsid w:val="00E643A6"/>
    <w:rsid w:val="00E655FF"/>
    <w:rsid w:val="00E65E14"/>
    <w:rsid w:val="00E66FEF"/>
    <w:rsid w:val="00E673C4"/>
    <w:rsid w:val="00E675EC"/>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69A6"/>
    <w:rsid w:val="00EB77A8"/>
    <w:rsid w:val="00EB7FA8"/>
    <w:rsid w:val="00EC0520"/>
    <w:rsid w:val="00EC0632"/>
    <w:rsid w:val="00EC1E45"/>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639"/>
    <w:rsid w:val="00EF3BEA"/>
    <w:rsid w:val="00EF4764"/>
    <w:rsid w:val="00EF57BE"/>
    <w:rsid w:val="00EF5969"/>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1E79"/>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401CE"/>
    <w:rsid w:val="00F4025A"/>
    <w:rsid w:val="00F414C4"/>
    <w:rsid w:val="00F424C2"/>
    <w:rsid w:val="00F42936"/>
    <w:rsid w:val="00F42BE7"/>
    <w:rsid w:val="00F438DD"/>
    <w:rsid w:val="00F43CB4"/>
    <w:rsid w:val="00F44146"/>
    <w:rsid w:val="00F44A58"/>
    <w:rsid w:val="00F45052"/>
    <w:rsid w:val="00F45071"/>
    <w:rsid w:val="00F45486"/>
    <w:rsid w:val="00F475D5"/>
    <w:rsid w:val="00F476A5"/>
    <w:rsid w:val="00F47A89"/>
    <w:rsid w:val="00F47E23"/>
    <w:rsid w:val="00F50F2A"/>
    <w:rsid w:val="00F53EBD"/>
    <w:rsid w:val="00F5423E"/>
    <w:rsid w:val="00F54328"/>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878E6"/>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uiPriority w:val="9"/>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uiPriority w:val="9"/>
    <w:qFormat/>
    <w:rsid w:val="005456E5"/>
    <w:pPr>
      <w:ind w:left="1701" w:hanging="1701"/>
      <w:outlineLvl w:val="4"/>
    </w:pPr>
    <w:rPr>
      <w:sz w:val="22"/>
    </w:rPr>
  </w:style>
  <w:style w:type="paragraph" w:styleId="6">
    <w:name w:val="heading 6"/>
    <w:basedOn w:val="H6"/>
    <w:next w:val="a2"/>
    <w:link w:val="6Char"/>
    <w:uiPriority w:val="9"/>
    <w:qFormat/>
    <w:rsid w:val="005456E5"/>
    <w:pPr>
      <w:outlineLvl w:val="5"/>
    </w:pPr>
  </w:style>
  <w:style w:type="paragraph" w:styleId="7">
    <w:name w:val="heading 7"/>
    <w:basedOn w:val="H6"/>
    <w:next w:val="a2"/>
    <w:link w:val="7Char"/>
    <w:uiPriority w:val="9"/>
    <w:qFormat/>
    <w:rsid w:val="005456E5"/>
    <w:pPr>
      <w:outlineLvl w:val="6"/>
    </w:pPr>
  </w:style>
  <w:style w:type="paragraph" w:styleId="8">
    <w:name w:val="heading 8"/>
    <w:basedOn w:val="10"/>
    <w:next w:val="a2"/>
    <w:link w:val="8Char"/>
    <w:uiPriority w:val="9"/>
    <w:qFormat/>
    <w:rsid w:val="005456E5"/>
    <w:pPr>
      <w:ind w:left="0" w:firstLine="0"/>
      <w:outlineLvl w:val="7"/>
    </w:pPr>
  </w:style>
  <w:style w:type="paragraph" w:styleId="9">
    <w:name w:val="heading 9"/>
    <w:basedOn w:val="8"/>
    <w:next w:val="a2"/>
    <w:link w:val="9Char"/>
    <w:uiPriority w:val="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80">
    <w:name w:val="toc 8"/>
    <w:basedOn w:val="11"/>
    <w:uiPriority w:val="99"/>
    <w:rsid w:val="005456E5"/>
    <w:pPr>
      <w:spacing w:before="180"/>
      <w:ind w:left="2693" w:hanging="2693"/>
    </w:pPr>
    <w:rPr>
      <w:b/>
    </w:rPr>
  </w:style>
  <w:style w:type="paragraph" w:styleId="1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99"/>
    <w:rsid w:val="005456E5"/>
    <w:pPr>
      <w:ind w:left="1701" w:hanging="1701"/>
    </w:pPr>
  </w:style>
  <w:style w:type="paragraph" w:styleId="42">
    <w:name w:val="toc 4"/>
    <w:basedOn w:val="30"/>
    <w:uiPriority w:val="99"/>
    <w:rsid w:val="005456E5"/>
    <w:pPr>
      <w:ind w:left="1418" w:hanging="1418"/>
    </w:pPr>
  </w:style>
  <w:style w:type="paragraph" w:styleId="30">
    <w:name w:val="toc 3"/>
    <w:basedOn w:val="22"/>
    <w:uiPriority w:val="99"/>
    <w:rsid w:val="005456E5"/>
    <w:pPr>
      <w:ind w:left="1134" w:hanging="1134"/>
    </w:pPr>
  </w:style>
  <w:style w:type="paragraph" w:styleId="22">
    <w:name w:val="toc 2"/>
    <w:basedOn w:val="1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60">
    <w:name w:val="toc 6"/>
    <w:basedOn w:val="50"/>
    <w:next w:val="a2"/>
    <w:uiPriority w:val="99"/>
    <w:rsid w:val="005456E5"/>
    <w:pPr>
      <w:ind w:left="1985" w:hanging="1985"/>
    </w:pPr>
  </w:style>
  <w:style w:type="paragraph" w:styleId="70">
    <w:name w:val="toc 7"/>
    <w:basedOn w:val="60"/>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c">
    <w:name w:val="footer"/>
    <w:basedOn w:val="a7"/>
    <w:link w:val="Char2"/>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uiPriority w:val="99"/>
    <w:rPr>
      <w:b/>
      <w:bCs/>
    </w:rPr>
  </w:style>
  <w:style w:type="paragraph" w:styleId="af3">
    <w:name w:val="Document Map"/>
    <w:basedOn w:val="a2"/>
    <w:link w:val="Char6"/>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列表段落"/>
    <w:basedOn w:val="a2"/>
    <w:link w:val="Char8"/>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a"/>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uiPriority w:val="99"/>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uiPriority w:val="9"/>
    <w:rsid w:val="004B7988"/>
    <w:rPr>
      <w:rFonts w:ascii="Arial" w:eastAsia="Times New Roman" w:hAnsi="Arial"/>
      <w:sz w:val="22"/>
      <w:lang w:val="en-GB"/>
    </w:rPr>
  </w:style>
  <w:style w:type="character" w:customStyle="1" w:styleId="8Char">
    <w:name w:val="标题 8 Char"/>
    <w:link w:val="8"/>
    <w:uiPriority w:val="99"/>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uiPriority w:val="99"/>
    <w:rsid w:val="005C19C0"/>
    <w:rPr>
      <w:rFonts w:ascii="Arial" w:eastAsia="Times New Roman" w:hAnsi="Arial"/>
      <w:lang w:val="en-GB"/>
    </w:rPr>
  </w:style>
  <w:style w:type="character" w:customStyle="1" w:styleId="9Char">
    <w:name w:val="标题 9 Char"/>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27">
    <w:name w:val="样式2"/>
    <w:basedOn w:val="3"/>
    <w:link w:val="2Char0"/>
    <w:qFormat/>
    <w:rsid w:val="003F482E"/>
    <w:pPr>
      <w:spacing w:beforeLines="50"/>
    </w:pPr>
    <w:rPr>
      <w:sz w:val="24"/>
    </w:rPr>
  </w:style>
  <w:style w:type="character" w:customStyle="1" w:styleId="2Char0">
    <w:name w:val="样式2 Char"/>
    <w:basedOn w:val="a3"/>
    <w:link w:val="27"/>
    <w:rsid w:val="003F482E"/>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381A4-CB5F-433E-B2AE-BF8EE1716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1810</TotalTime>
  <Pages>4</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Huawei-Yuanping</cp:lastModifiedBy>
  <cp:revision>70</cp:revision>
  <cp:lastPrinted>2009-04-22T07:01:00Z</cp:lastPrinted>
  <dcterms:created xsi:type="dcterms:W3CDTF">2022-09-23T08:01:00Z</dcterms:created>
  <dcterms:modified xsi:type="dcterms:W3CDTF">2022-09-28T07:29:00Z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(3)XapZEfyuJENReDn/lI3/LBN8pQUQRW/wRRaLzz5MlW6LEB/fdRdfkG6WkAeNFh5QHAtoJjhb
+7iQZFZaMRx8L2lo5rHP2hspZiB0ot+jmorBYRWIkTgzupuGZ/OobJqbdupODy+8H39o9f/p
nH9XKBYUEDPop9hsbJvIQlBnsaHbJIFIDdF55jDgg8UmW6iuRKzQHI39Yyhm1K714CNdFvSg
tdWRW60C0hltDt0ybP</vt:lpwstr>
  </property>
  <property fmtid="{D5CDD505-2E9C-101B-9397-08002B2CF9AE}" pid="17" name="_2015_ms_pID_7253431">
    <vt:lpwstr>QuvpP+krYLEAi8ULcG1qiqBG7XktkkV7ICDAhHSKW4lPWOWKsxuGw/
zaBPL0Dch3Psj5c4g8qqCIljAnHXT/nBG3+Oj5rramx8Lim5ZV1tt35md23f8tf75FF03v67
0GJDgquzu9qgBmM1ekkQZ3BRslW8+KNAj/PDyo2/kiwXrAiP4zsk8Dq1YPKfvvwcFdRaalge
IDtdCZVxlNXwvQKGGDidg0vy4ODQlAo+8l2y</vt:lpwstr>
  </property>
  <property fmtid="{D5CDD505-2E9C-101B-9397-08002B2CF9AE}" pid="18" name="_2015_ms_pID_7253432">
    <vt:lpwstr>KA==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